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5C2D" w14:textId="77777777" w:rsidR="00426933" w:rsidRDefault="00426933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</w:p>
    <w:p w14:paraId="3FA62066" w14:textId="329D70C1" w:rsidR="005E509E" w:rsidRPr="005E509E" w:rsidRDefault="005E509E" w:rsidP="005E5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 w:rsidRPr="005E509E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DECLARACIÓN RESPONSABLE DEL CUMPLIMIENTO DEL PRINCIPIO DE «NO CAUSAR PERJUICIO SIGNIFICATIVO» A LOS SEIS OBJETIVOS MEDIOAMBIENTALES EN EL SENTIDO DEL ARTÍCULO 17 DEL REGLAMENTO (UE) 2020/852</w:t>
      </w:r>
      <w:r w:rsidR="007A3948">
        <w:rPr>
          <w:rStyle w:val="Refdenotaalpie"/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footnoteReference w:id="1"/>
      </w:r>
    </w:p>
    <w:p w14:paraId="6335BCD3" w14:textId="77777777"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  <w:r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  <w:t>Información sobre la actuación en el Plan de Recuperación,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5953"/>
      </w:tblGrid>
      <w:tr w:rsidR="005E509E" w:rsidRPr="00F83888" w14:paraId="1A1691A7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9C757" w14:textId="77777777" w:rsidR="005E509E" w:rsidRPr="00F83888" w:rsidRDefault="005E509E" w:rsidP="00F8388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F83888">
              <w:rPr>
                <w:rFonts w:asciiTheme="minorHAnsi" w:eastAsia="Arial" w:hAnsiTheme="minorHAnsi" w:cstheme="minorHAnsi"/>
                <w:b/>
                <w:color w:val="000000"/>
                <w:sz w:val="22"/>
                <w:lang w:val="es-ES"/>
              </w:rPr>
              <w:t>Identificación de la actuación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12287" w14:textId="6467C335" w:rsidR="005E509E" w:rsidRPr="00F0105D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FF0000"/>
                <w:sz w:val="22"/>
                <w:lang w:val="es-ES"/>
              </w:rPr>
            </w:pPr>
          </w:p>
        </w:tc>
      </w:tr>
      <w:tr w:rsidR="005E509E" w:rsidRPr="00C1686E" w14:paraId="55D5542C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E69C3" w14:textId="77777777"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Componente del PRTR al que pertenece la actividad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C6396" w14:textId="7BB8BF50" w:rsidR="005E509E" w:rsidRPr="00F0105D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FF0000"/>
                <w:sz w:val="22"/>
                <w:lang w:val="es-ES"/>
              </w:rPr>
            </w:pPr>
          </w:p>
        </w:tc>
      </w:tr>
      <w:tr w:rsidR="005E509E" w:rsidRPr="00C1686E" w14:paraId="3E6E1443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0AFE4A" w14:textId="77777777"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sz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Medida (Reforma o Inversión) del Componente PRTR al que pertenece la actividad indicando, en su caso, la submedida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CA42B5" w14:textId="799051F3" w:rsidR="005E509E" w:rsidRPr="00F0105D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color w:val="FF0000"/>
                <w:sz w:val="22"/>
                <w:lang w:val="es-ES"/>
              </w:rPr>
            </w:pPr>
          </w:p>
        </w:tc>
      </w:tr>
      <w:tr w:rsidR="005E509E" w:rsidRPr="00C1686E" w14:paraId="67CD754D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C2782" w14:textId="77777777" w:rsidR="005E509E" w:rsidRPr="005E509E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lang w:val="es-ES"/>
              </w:rPr>
            </w:pPr>
            <w:r w:rsidRPr="005E509E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Etiquetado climático y medioambiental asignado a la medida (Reforma o Inversión) o, en su caso, a la submedida del PRTR (Anexo VI, Reglamento 2021/241)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840C01" w14:textId="30A4DB14" w:rsidR="005E509E" w:rsidRPr="00F0105D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color w:val="FF0000"/>
                <w:sz w:val="22"/>
                <w:lang w:val="es-ES"/>
              </w:rPr>
            </w:pPr>
          </w:p>
        </w:tc>
      </w:tr>
    </w:tbl>
    <w:p w14:paraId="5019FD3D" w14:textId="77777777" w:rsidR="005E509E" w:rsidRDefault="005E509E" w:rsidP="005E509E">
      <w:pPr>
        <w:autoSpaceDE w:val="0"/>
        <w:autoSpaceDN w:val="0"/>
        <w:adjustRightInd w:val="0"/>
        <w:rPr>
          <w:rFonts w:ascii="Gotham-Bold" w:eastAsiaTheme="minorHAnsi" w:hAnsi="Gotham-Bold" w:cs="Gotham-Bold"/>
          <w:b/>
          <w:bCs/>
          <w:color w:val="FFFFFF"/>
          <w:sz w:val="26"/>
          <w:szCs w:val="26"/>
          <w:lang w:val="es-ES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5953"/>
      </w:tblGrid>
      <w:tr w:rsidR="005E509E" w:rsidRPr="00F83888" w14:paraId="2C0F55C4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4E714" w14:textId="77777777" w:rsidR="005E509E" w:rsidRPr="00F83888" w:rsidRDefault="005E509E" w:rsidP="00F8388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D./Dª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19C8C" w14:textId="77777777"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F83888" w14:paraId="64C012E9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A0ECD" w14:textId="77777777"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es-ES"/>
              </w:rPr>
              <w:t>Con NIF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6BD12" w14:textId="77777777"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C1686E" w14:paraId="1574F13A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A25767" w14:textId="77777777"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P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or sí mismo/a o en representación de la entidad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FCD54" w14:textId="77777777" w:rsidR="005E509E" w:rsidRPr="00F83888" w:rsidRDefault="005E509E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5E509E" w:rsidRPr="00F83888" w14:paraId="0C12C7AC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6EC27" w14:textId="77777777"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C</w:t>
            </w:r>
            <w:r w:rsidR="005E509E" w:rsidRPr="00F83888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>on CIF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E62D8" w14:textId="77777777" w:rsidR="005E509E" w:rsidRPr="00F83888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F83888" w:rsidRPr="00F83888" w14:paraId="7DA19259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2C4BC" w14:textId="77777777" w:rsidR="00F83888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En calidad de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C2436C" w14:textId="77777777" w:rsidR="00F83888" w:rsidRPr="00F83888" w:rsidRDefault="00F83888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5E509E" w:rsidRPr="00C1686E" w14:paraId="72A1DFAD" w14:textId="77777777" w:rsidTr="007A3948">
        <w:trPr>
          <w:trHeight w:val="260"/>
        </w:trPr>
        <w:tc>
          <w:tcPr>
            <w:tcW w:w="3124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853F2" w14:textId="77777777" w:rsidR="005E509E" w:rsidRPr="00F83888" w:rsidRDefault="00F83888" w:rsidP="00F83888">
            <w:pPr>
              <w:autoSpaceDE w:val="0"/>
              <w:autoSpaceDN w:val="0"/>
              <w:adjustRightInd w:val="0"/>
              <w:spacing w:before="40" w:after="40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  <w:r w:rsidRPr="00F83888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val="es-ES"/>
              </w:rPr>
              <w:t>Datos de contacto (dirección, teléfono, email)</w:t>
            </w:r>
          </w:p>
        </w:tc>
        <w:tc>
          <w:tcPr>
            <w:tcW w:w="59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394F3E" w14:textId="77777777" w:rsidR="005E509E" w:rsidRPr="00F83888" w:rsidRDefault="005E509E" w:rsidP="00F83888">
            <w:pPr>
              <w:spacing w:before="40" w:after="40"/>
              <w:rPr>
                <w:rFonts w:asciiTheme="minorHAnsi" w:eastAsia="Arial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70EEE1A" w14:textId="77777777" w:rsidR="005E509E" w:rsidRPr="00F83888" w:rsidRDefault="005E509E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</w:pPr>
      <w:r w:rsidRPr="00F8388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s-ES"/>
        </w:rPr>
        <w:t>DECLARA</w:t>
      </w:r>
    </w:p>
    <w:p w14:paraId="22D137D6" w14:textId="77777777" w:rsidR="005E509E" w:rsidRPr="00F83888" w:rsidRDefault="005E509E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Que ha presentado solicitud a la actuación arriba indicada para el proyecto denominado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: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7"/>
      </w:tblGrid>
      <w:tr w:rsidR="005E509E" w:rsidRPr="00C1686E" w14:paraId="408DC8FE" w14:textId="77777777" w:rsidTr="007A3948">
        <w:trPr>
          <w:trHeight w:val="260"/>
        </w:trPr>
        <w:tc>
          <w:tcPr>
            <w:tcW w:w="9077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57BECB" w14:textId="77777777" w:rsidR="00F83888" w:rsidRDefault="00F83888" w:rsidP="00F8388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743F5878" w14:textId="77777777" w:rsidR="00F83888" w:rsidRDefault="00F83888" w:rsidP="00F8388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3D31F4EC" w14:textId="77777777" w:rsidR="00F83888" w:rsidRPr="00F83888" w:rsidRDefault="00F83888" w:rsidP="00F83888">
            <w:pPr>
              <w:autoSpaceDE w:val="0"/>
              <w:autoSpaceDN w:val="0"/>
              <w:adjustRightInd w:val="0"/>
              <w:spacing w:before="100" w:beforeAutospacing="1" w:after="100" w:afterAutospacing="1" w:line="264" w:lineRule="auto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1A648826" w14:textId="77777777" w:rsidR="00F83888" w:rsidRDefault="005E509E" w:rsidP="00F83888">
      <w:pPr>
        <w:autoSpaceDE w:val="0"/>
        <w:autoSpaceDN w:val="0"/>
        <w:adjustRightInd w:val="0"/>
        <w:spacing w:before="100" w:beforeAutospacing="1" w:after="100" w:afterAutospacing="1" w:line="264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y éste cumple lo siguiente:</w:t>
      </w:r>
    </w:p>
    <w:p w14:paraId="1DC7E569" w14:textId="77777777" w:rsidR="00F83888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lastRenderedPageBreak/>
        <w:t xml:space="preserve">A.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Las actividades que se desarrollan en el mismo no ocasionan un perjuicio significativo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 los siguientes objetivos medioambientales, según el artículo 17 del Reglamento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(UE) 2020/852 relativo al establecimiento de un marco para facilitar las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inversiones sostenibles mediante la implantación de un sistema de clasificación (o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«taxonomía») de las actividades económicas medioambientalmente sostenibles:</w:t>
      </w:r>
      <w:r w:rsid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</w:p>
    <w:p w14:paraId="18B8AB30" w14:textId="77777777"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Mitigación del cambio climático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>- se considera que una actividad causa un perjuicio significativo a la mitigación del cambio climático si da lugar a considerables emisiones de gases de efecto invernadero (GEI).</w:t>
      </w:r>
    </w:p>
    <w:p w14:paraId="7F8C1332" w14:textId="77777777"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Adaptación al cambio climático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</w:t>
      </w:r>
    </w:p>
    <w:p w14:paraId="3BC95F4C" w14:textId="77777777"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Uso sostenible y protección de los recursos hídricos y marinos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</w:t>
      </w:r>
    </w:p>
    <w:p w14:paraId="3759C372" w14:textId="77777777"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Economía circular, incluidos la prevención y el reciclado de residuos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- 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generación, incineración o eliminación de residuos; o si la eliminación de residuos a largo plazo puede causar un perjuicio significativo y a largo plazo para el medio ambiente. </w:t>
      </w:r>
    </w:p>
    <w:p w14:paraId="09ABC848" w14:textId="77777777"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Prevención y control de la contaminación a la atmósfera, el agua o el suelo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- se considera que una actividad causa un perjuicio significativo a la prevención y el control de la contaminación cuando da lugar a un aumento significativo de las emisiones de contaminantes a la atmósfera, el agua o el suelo. </w:t>
      </w:r>
    </w:p>
    <w:p w14:paraId="1E2F19CC" w14:textId="77777777" w:rsidR="00F83888" w:rsidRPr="00F83888" w:rsidRDefault="00F83888" w:rsidP="007C1E6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color w:val="000000"/>
          <w:sz w:val="22"/>
          <w:szCs w:val="22"/>
          <w:u w:val="single"/>
          <w:lang w:val="es-ES"/>
        </w:rPr>
        <w:t>Protección y restauración de la biodiversidad y los ecosistemas</w:t>
      </w:r>
      <w:r w:rsidRPr="00F0105D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</w:t>
      </w:r>
    </w:p>
    <w:p w14:paraId="0FFD5DF6" w14:textId="77777777" w:rsidR="005E509E" w:rsidRPr="00F83888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B.</w:t>
      </w:r>
      <w:r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Las actividades se adecúan, en su caso, a las características y condiciones fijadas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para la medida y submedida </w:t>
      </w:r>
      <w:r w:rsidR="007A394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del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Componente y reflejadas en el Plan de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Recuperación, Transformación y Resiliencia.</w:t>
      </w:r>
    </w:p>
    <w:p w14:paraId="5AF149A7" w14:textId="77777777" w:rsidR="00F0105D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C.</w:t>
      </w:r>
      <w:r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Las actividades que se desarrollan en el proyecto cumplirán la normativa medioambiental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vigente que resulte de aplicación.</w:t>
      </w:r>
    </w:p>
    <w:p w14:paraId="4FBE87EB" w14:textId="77777777" w:rsidR="005E509E" w:rsidRPr="00F83888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0105D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D.</w:t>
      </w:r>
      <w:r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Las actividades que se desarrollan no están excluidas para su financiación por el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Plan al no cumplir el principio DNSH conforme a la 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Guía técnica sobre la aplicación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del principio de «no causar un perjuicio significativo» en virtud del Reglamento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relativo al Mecanismo de Recuperación y Resiliencia (2021/C 58/01)</w:t>
      </w:r>
      <w:r w:rsidR="007A3948">
        <w:rPr>
          <w:rStyle w:val="Refdenotaalpie"/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footnoteReference w:id="2"/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, a la 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Propuesta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de Decisión de Ejecución del Consejo relativa a la aprobación de la evaluación</w:t>
      </w:r>
      <w:r w:rsidR="00F0105D"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del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P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lan de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ecuperación y </w:t>
      </w:r>
      <w:r w:rsidR="00B03DAA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R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esiliencia de España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y a su correspondiente</w:t>
      </w:r>
      <w:r w:rsidR="00F0105D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Anexo</w:t>
      </w:r>
      <w:r w:rsidR="007A3948">
        <w:rPr>
          <w:rStyle w:val="Refdenotaalpie"/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footnoteReference w:id="3"/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.</w:t>
      </w:r>
    </w:p>
    <w:p w14:paraId="5B712B1F" w14:textId="77777777"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Construcción de refinerías de crudo, centrales térmicas de carbón y proyectos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que impliquen la extracción de petróleo o gas natural, debido al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perjuicio al objetivo de mitigación del cambio climático.</w:t>
      </w:r>
    </w:p>
    <w:p w14:paraId="1F901B8E" w14:textId="77777777"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los combustibles fósiles, incluida la utilización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ulterior de los mismos, excepto los proyectos relacionados con la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generación de electricidad y/o calor utilizando gas natural, así como con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lastRenderedPageBreak/>
        <w:t>la infraestructura de transporte y distribución conexa, que cumplan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condiciones establecidas en el Anexo III de la Guía Técnica de la Comisión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Europea.</w:t>
      </w:r>
    </w:p>
    <w:p w14:paraId="767DE183" w14:textId="77777777"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y activos en el marco del régimen de comercio de derechos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emisión de la UE (RCDE) en relación con las cuales se prevea que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emisiones de gases de efecto invernadero que van a provocar no se situarán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por debajo de los parámetros de referencia pertinentes. Cuando se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prevea que las emisiones de gases de efecto invernadero provocadas por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la actividad subvencionada no van a ser significativamente inferiores a los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parámetros de referencia, deberá facilitarse una explicación motivada al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respecto.</w:t>
      </w:r>
    </w:p>
    <w:p w14:paraId="56415101" w14:textId="77777777"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Compensación de los costes indirectos del RCDE.</w:t>
      </w:r>
    </w:p>
    <w:p w14:paraId="22CD7B4A" w14:textId="77777777"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vertederos de residuos e incineradoras,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esta exclusión no se aplica a las acciones en plantas dedicadas exclusivamente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al tratamiento de residuos peligrosos no reciclables, ni en las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plantas existentes, cuando dichas acciones tengan por objeto aumentar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la eficiencia energética, capturar los gases de escape para su almacenamiento</w:t>
      </w:r>
      <w:r w:rsidR="00F0105D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o utilización, o recuperar materiales de las cenizas de incineración,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siempre que tales acciones no conlleven un aumento de la capacidad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tratamiento de residuos de las plantas o a una prolongación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su vida útil; estos pormenores deberán justificarse documentalmente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para cada planta.</w:t>
      </w:r>
    </w:p>
    <w:p w14:paraId="3FFF9D40" w14:textId="77777777"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relacionadas con plantas de tratamiento mecánico-biológico,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esta exclusión no se aplica a las acciones en plantas de tratamiento mecánico-biológico existentes, cuando dichas acciones tengan por objeto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aumentar su eficiencia energética o su reacondicionamiento para operaciones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de reciclaje de residuos separados, como el compostaje y la digestión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anaerobia de biorresiduos, siempre que tales acciones no conlleven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un aumento de la capacidad de tratamiento de residuos de las plantas o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 una prolongación de su vida útil; estos pormenores deberán justificarse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documentalmente para cada planta.</w:t>
      </w:r>
    </w:p>
    <w:p w14:paraId="4C407225" w14:textId="77777777" w:rsidR="005E509E" w:rsidRPr="00B03DAA" w:rsidRDefault="005E509E" w:rsidP="00E9158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60" w:after="60" w:line="264" w:lineRule="auto"/>
        <w:ind w:left="357" w:hanging="357"/>
        <w:contextualSpacing w:val="0"/>
        <w:jc w:val="both"/>
        <w:rPr>
          <w:rFonts w:asciiTheme="minorHAnsi" w:eastAsiaTheme="minorHAnsi" w:hAnsiTheme="minorHAnsi" w:cstheme="minorHAnsi"/>
          <w:color w:val="000000"/>
          <w:szCs w:val="22"/>
          <w:lang w:val="es-ES"/>
        </w:rPr>
      </w:pP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Actividades en las que la eliminación a largo plazo de residuos pueda causar</w:t>
      </w:r>
      <w:r w:rsidR="00E91582"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 xml:space="preserve"> </w:t>
      </w:r>
      <w:r w:rsidRPr="00B03DAA">
        <w:rPr>
          <w:rFonts w:asciiTheme="minorHAnsi" w:eastAsiaTheme="minorHAnsi" w:hAnsiTheme="minorHAnsi" w:cstheme="minorHAnsi"/>
          <w:color w:val="000000"/>
          <w:szCs w:val="22"/>
          <w:lang w:val="es-ES"/>
        </w:rPr>
        <w:t>daños al medio ambiente.</w:t>
      </w:r>
    </w:p>
    <w:p w14:paraId="5F67E3BC" w14:textId="77777777" w:rsidR="005E509E" w:rsidRPr="00F83888" w:rsidRDefault="005E509E" w:rsidP="00B03DAA">
      <w:pPr>
        <w:autoSpaceDE w:val="0"/>
        <w:autoSpaceDN w:val="0"/>
        <w:adjustRightInd w:val="0"/>
        <w:spacing w:before="24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E91582">
        <w:rPr>
          <w:rFonts w:asciiTheme="minorHAnsi" w:eastAsiaTheme="minorHAnsi" w:hAnsiTheme="minorHAnsi" w:cstheme="minorHAnsi"/>
          <w:b/>
          <w:bCs/>
          <w:color w:val="538135" w:themeColor="accent6" w:themeShade="BF"/>
          <w:sz w:val="28"/>
          <w:szCs w:val="22"/>
          <w:lang w:val="es-ES"/>
        </w:rPr>
        <w:t>E.</w:t>
      </w:r>
      <w:r w:rsidRPr="00F83888">
        <w:rPr>
          <w:rFonts w:asciiTheme="minorHAnsi" w:eastAsiaTheme="minorHAnsi" w:hAnsiTheme="minorHAnsi" w:cstheme="minorHAnsi"/>
          <w:b/>
          <w:bCs/>
          <w:color w:val="96C21F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Las actividades que se desarrollan no causan efectos directos sobre el medioambiente,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ni efectos indirectos primarios en todo su ciclo de vida, entendiendo como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tales aquéllos que pudieran materializarse tras su finalización, una vez realizada la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actividad.</w:t>
      </w:r>
    </w:p>
    <w:p w14:paraId="2F988B86" w14:textId="77777777" w:rsidR="00B03DAA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14:paraId="0A2D608F" w14:textId="77777777" w:rsidR="005E509E" w:rsidRDefault="005E509E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El incumplimiento de alguno de los requisitos establecidos en la presente declaración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dará lugar a la obligación de devolver las cantidades percibidas y los intereses de demora</w:t>
      </w:r>
      <w:r w:rsidR="00E91582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F83888"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  <w:t>correspondientes.</w:t>
      </w:r>
    </w:p>
    <w:p w14:paraId="09DE0F5E" w14:textId="77777777" w:rsidR="00B03DAA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14:paraId="27002C37" w14:textId="77777777" w:rsidR="00B03DAA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14:paraId="4CAD141E" w14:textId="77777777" w:rsidR="00E91582" w:rsidRPr="00F83888" w:rsidRDefault="00E91582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val="es-ES"/>
        </w:rPr>
      </w:pPr>
    </w:p>
    <w:p w14:paraId="26E9B072" w14:textId="77777777" w:rsidR="005E509E" w:rsidRDefault="005E509E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ES"/>
        </w:rPr>
        <w:t>Fecha:</w:t>
      </w:r>
    </w:p>
    <w:p w14:paraId="6E22CE51" w14:textId="77777777" w:rsidR="00B03DAA" w:rsidRPr="00F83888" w:rsidRDefault="00B03DAA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ES"/>
        </w:rPr>
      </w:pPr>
    </w:p>
    <w:p w14:paraId="4851EF83" w14:textId="77777777" w:rsidR="005E509E" w:rsidRPr="00F83888" w:rsidRDefault="005E509E" w:rsidP="00E91582">
      <w:pPr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eastAsia="Arial" w:hAnsiTheme="minorHAnsi" w:cstheme="minorHAnsi"/>
          <w:sz w:val="22"/>
          <w:szCs w:val="22"/>
          <w:lang w:val="es-ES"/>
        </w:rPr>
      </w:pPr>
      <w:r w:rsidRPr="00F8388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ES"/>
        </w:rPr>
        <w:t>Firma:</w:t>
      </w:r>
    </w:p>
    <w:sectPr w:rsidR="005E509E" w:rsidRPr="00F83888" w:rsidSect="00624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135" w:left="1701" w:header="708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302AF" w14:textId="77777777" w:rsidR="00206DE5" w:rsidRDefault="00206DE5" w:rsidP="005D50AA">
      <w:r>
        <w:separator/>
      </w:r>
    </w:p>
  </w:endnote>
  <w:endnote w:type="continuationSeparator" w:id="0">
    <w:p w14:paraId="18EE25FF" w14:textId="77777777" w:rsidR="00206DE5" w:rsidRDefault="00206DE5" w:rsidP="005D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D478" w14:textId="77777777" w:rsidR="0062491A" w:rsidRDefault="006249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</w:rPr>
      <w:id w:val="1897703584"/>
      <w:docPartObj>
        <w:docPartGallery w:val="Page Numbers (Bottom of Page)"/>
        <w:docPartUnique/>
      </w:docPartObj>
    </w:sdtPr>
    <w:sdtEndPr/>
    <w:sdtContent>
      <w:p w14:paraId="2BA78FFD" w14:textId="77777777" w:rsidR="005D50AA" w:rsidRPr="00F0105D" w:rsidRDefault="005D50AA" w:rsidP="00F0105D">
        <w:pPr>
          <w:pStyle w:val="Piedepgina"/>
          <w:jc w:val="right"/>
          <w:rPr>
            <w:rFonts w:asciiTheme="minorHAnsi" w:hAnsiTheme="minorHAnsi" w:cstheme="minorHAnsi"/>
            <w:sz w:val="18"/>
          </w:rPr>
        </w:pPr>
        <w:r w:rsidRPr="00F0105D">
          <w:rPr>
            <w:rFonts w:asciiTheme="minorHAnsi" w:hAnsiTheme="minorHAnsi" w:cstheme="minorHAnsi"/>
            <w:sz w:val="18"/>
          </w:rPr>
          <w:fldChar w:fldCharType="begin"/>
        </w:r>
        <w:r w:rsidRPr="00F0105D">
          <w:rPr>
            <w:rFonts w:asciiTheme="minorHAnsi" w:hAnsiTheme="minorHAnsi" w:cstheme="minorHAnsi"/>
            <w:sz w:val="18"/>
          </w:rPr>
          <w:instrText>PAGE   \* MERGEFORMAT</w:instrText>
        </w:r>
        <w:r w:rsidRPr="00F0105D">
          <w:rPr>
            <w:rFonts w:asciiTheme="minorHAnsi" w:hAnsiTheme="minorHAnsi" w:cstheme="minorHAnsi"/>
            <w:sz w:val="18"/>
          </w:rPr>
          <w:fldChar w:fldCharType="separate"/>
        </w:r>
        <w:r w:rsidR="007C1E68" w:rsidRPr="007C1E68">
          <w:rPr>
            <w:rFonts w:asciiTheme="minorHAnsi" w:hAnsiTheme="minorHAnsi" w:cstheme="minorHAnsi"/>
            <w:noProof/>
            <w:sz w:val="18"/>
            <w:lang w:val="es-ES"/>
          </w:rPr>
          <w:t>2</w:t>
        </w:r>
        <w:r w:rsidRPr="00F0105D">
          <w:rPr>
            <w:rFonts w:asciiTheme="minorHAnsi" w:hAnsiTheme="minorHAnsi" w:cstheme="minorHAnsi"/>
            <w:sz w:val="18"/>
          </w:rPr>
          <w:fldChar w:fldCharType="end"/>
        </w:r>
      </w:p>
    </w:sdtContent>
  </w:sdt>
  <w:p w14:paraId="564B9A0D" w14:textId="77777777" w:rsidR="005D50AA" w:rsidRDefault="005D50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3AC52" w14:textId="77777777" w:rsidR="0062491A" w:rsidRDefault="006249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589F" w14:textId="77777777" w:rsidR="00206DE5" w:rsidRDefault="00206DE5" w:rsidP="005D50AA">
      <w:r>
        <w:separator/>
      </w:r>
    </w:p>
  </w:footnote>
  <w:footnote w:type="continuationSeparator" w:id="0">
    <w:p w14:paraId="5941985F" w14:textId="77777777" w:rsidR="00206DE5" w:rsidRDefault="00206DE5" w:rsidP="005D50AA">
      <w:r>
        <w:continuationSeparator/>
      </w:r>
    </w:p>
  </w:footnote>
  <w:footnote w:id="1">
    <w:p w14:paraId="5D81CFB0" w14:textId="77777777" w:rsidR="007A3948" w:rsidRPr="007A3948" w:rsidRDefault="007A3948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</w:rPr>
        <w:footnoteRef/>
      </w:r>
      <w:r w:rsidRPr="007A3948">
        <w:rPr>
          <w:rFonts w:asciiTheme="minorHAnsi" w:hAnsiTheme="minorHAnsi" w:cstheme="minorHAnsi"/>
          <w:sz w:val="16"/>
          <w:lang w:val="es-ES"/>
        </w:rPr>
        <w:t xml:space="preserve"> </w:t>
      </w:r>
      <w:r>
        <w:rPr>
          <w:rFonts w:asciiTheme="minorHAnsi" w:hAnsiTheme="minorHAnsi" w:cstheme="minorHAnsi"/>
          <w:sz w:val="16"/>
          <w:lang w:val="es-ES"/>
        </w:rPr>
        <w:t>Modelo de declaración e</w:t>
      </w:r>
      <w:r w:rsidRPr="007A3948">
        <w:rPr>
          <w:rFonts w:asciiTheme="minorHAnsi" w:hAnsiTheme="minorHAnsi" w:cstheme="minorHAnsi"/>
          <w:sz w:val="16"/>
          <w:lang w:val="es-ES"/>
        </w:rPr>
        <w:t>laborad</w:t>
      </w:r>
      <w:r>
        <w:rPr>
          <w:rFonts w:asciiTheme="minorHAnsi" w:hAnsiTheme="minorHAnsi" w:cstheme="minorHAnsi"/>
          <w:sz w:val="16"/>
          <w:lang w:val="es-ES"/>
        </w:rPr>
        <w:t>o</w:t>
      </w:r>
      <w:r w:rsidRPr="007A3948">
        <w:rPr>
          <w:rFonts w:asciiTheme="minorHAnsi" w:hAnsiTheme="minorHAnsi" w:cstheme="minorHAnsi"/>
          <w:sz w:val="16"/>
          <w:lang w:val="es-ES"/>
        </w:rPr>
        <w:t xml:space="preserve"> conforme </w:t>
      </w:r>
      <w:r>
        <w:rPr>
          <w:rFonts w:asciiTheme="minorHAnsi" w:hAnsiTheme="minorHAnsi" w:cstheme="minorHAnsi"/>
          <w:sz w:val="16"/>
          <w:lang w:val="es-ES"/>
        </w:rPr>
        <w:t xml:space="preserve">a lo </w:t>
      </w:r>
      <w:r w:rsidRPr="007A3948">
        <w:rPr>
          <w:rFonts w:asciiTheme="minorHAnsi" w:hAnsiTheme="minorHAnsi" w:cstheme="minorHAnsi"/>
          <w:sz w:val="16"/>
          <w:lang w:val="es-ES"/>
        </w:rPr>
        <w:t xml:space="preserve">recogido en la “Guía para el diseño y desarrollo de actuaciones acordes con el principio de no causar un perjuicio significativo al medio ambiente” </w:t>
      </w:r>
      <w:hyperlink r:id="rId1" w:history="1">
        <w:r w:rsidRPr="00410E97">
          <w:rPr>
            <w:rStyle w:val="Hipervnculo"/>
            <w:rFonts w:asciiTheme="minorHAnsi" w:hAnsiTheme="minorHAnsi" w:cstheme="minorHAnsi"/>
            <w:sz w:val="16"/>
            <w:lang w:val="es-ES"/>
          </w:rPr>
          <w:t>https://www.miteco.gob.es/es/ministerio/recuperacion-transformacion-resiliencia/transicion-verde/guiadnshmitecov20_tcm30-528436.pdf</w:t>
        </w:r>
      </w:hyperlink>
      <w:r>
        <w:rPr>
          <w:rFonts w:asciiTheme="minorHAnsi" w:hAnsiTheme="minorHAnsi" w:cstheme="minorHAnsi"/>
          <w:sz w:val="16"/>
          <w:lang w:val="es-ES"/>
        </w:rPr>
        <w:t>, Anexo</w:t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III.</w:t>
      </w:r>
    </w:p>
  </w:footnote>
  <w:footnote w:id="2">
    <w:p w14:paraId="58098B1F" w14:textId="77777777" w:rsidR="00B03DAA" w:rsidRPr="007A3948" w:rsidRDefault="007A3948">
      <w:pPr>
        <w:pStyle w:val="Textonotapie"/>
        <w:rPr>
          <w:rFonts w:asciiTheme="minorHAnsi" w:hAnsiTheme="minorHAnsi" w:cstheme="minorHAnsi"/>
          <w:sz w:val="16"/>
          <w:szCs w:val="16"/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hyperlink r:id="rId2" w:history="1">
        <w:r w:rsidR="00B03DAA" w:rsidRPr="00410E97">
          <w:rPr>
            <w:rStyle w:val="Hipervnculo"/>
            <w:rFonts w:asciiTheme="minorHAnsi" w:eastAsiaTheme="minorHAnsi" w:hAnsiTheme="minorHAnsi" w:cstheme="minorHAnsi"/>
            <w:bCs/>
            <w:sz w:val="16"/>
            <w:szCs w:val="16"/>
            <w:lang w:val="es-ES"/>
          </w:rPr>
          <w:t>https://www.boe.es/buscar/doc.php?id=DOUE-Z-2021-70014</w:t>
        </w:r>
      </w:hyperlink>
    </w:p>
  </w:footnote>
  <w:footnote w:id="3">
    <w:p w14:paraId="012B0B98" w14:textId="77777777" w:rsidR="00B03DAA" w:rsidRPr="007A3948" w:rsidRDefault="007A3948">
      <w:pPr>
        <w:pStyle w:val="Textonotapie"/>
        <w:rPr>
          <w:lang w:val="es-ES"/>
        </w:rPr>
      </w:pPr>
      <w:r w:rsidRPr="007A3948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7A3948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hyperlink r:id="rId3" w:history="1">
        <w:r w:rsidR="00B03DAA" w:rsidRPr="00410E97">
          <w:rPr>
            <w:rStyle w:val="Hipervnculo"/>
            <w:rFonts w:asciiTheme="minorHAnsi" w:eastAsiaTheme="minorHAnsi" w:hAnsiTheme="minorHAnsi" w:cstheme="minorHAnsi"/>
            <w:bCs/>
            <w:sz w:val="16"/>
            <w:szCs w:val="16"/>
            <w:lang w:val="es-ES"/>
          </w:rPr>
          <w:t>https://eur-lex.europa.eu/legal-content/ES/TXT/PDF/?uri=CELEX:52021PC0322&amp;from=EN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3DA0" w14:textId="77777777" w:rsidR="0062491A" w:rsidRDefault="006249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DBFC" w14:textId="57E647FB" w:rsidR="00F83888" w:rsidRPr="00F83888" w:rsidRDefault="00F83888" w:rsidP="00F83888">
    <w:pPr>
      <w:pStyle w:val="Encabezado"/>
      <w:jc w:val="right"/>
      <w:rPr>
        <w:rFonts w:ascii="Trebuchet MS" w:hAnsi="Trebuchet MS"/>
        <w:color w:val="538135" w:themeColor="accent6" w:themeShade="B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78B4" w14:textId="706855CE" w:rsidR="0062491A" w:rsidRDefault="00C1686E" w:rsidP="0062491A">
    <w:pPr>
      <w:pStyle w:val="Encabezado"/>
      <w:jc w:val="right"/>
    </w:pPr>
    <w:r>
      <w:rPr>
        <w:noProof/>
      </w:rPr>
      <w:drawing>
        <wp:inline distT="0" distB="0" distL="0" distR="0" wp14:anchorId="6DB0A716" wp14:editId="154C26C1">
          <wp:extent cx="5671185" cy="53721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1185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A5E4C05"/>
    <w:multiLevelType w:val="hybridMultilevel"/>
    <w:tmpl w:val="32E60062"/>
    <w:lvl w:ilvl="0" w:tplc="F4CA6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0B4E6E"/>
    <w:multiLevelType w:val="hybridMultilevel"/>
    <w:tmpl w:val="CD98C0EE"/>
    <w:lvl w:ilvl="0" w:tplc="77C07D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38135" w:themeColor="accent6" w:themeShade="BF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8F46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F93779F"/>
    <w:multiLevelType w:val="hybridMultilevel"/>
    <w:tmpl w:val="9148FD6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AA"/>
    <w:rsid w:val="000712B4"/>
    <w:rsid w:val="001679FF"/>
    <w:rsid w:val="001C16C2"/>
    <w:rsid w:val="001C5BC1"/>
    <w:rsid w:val="001D219A"/>
    <w:rsid w:val="001F5E44"/>
    <w:rsid w:val="00204749"/>
    <w:rsid w:val="00206DE5"/>
    <w:rsid w:val="00217D58"/>
    <w:rsid w:val="00221F0F"/>
    <w:rsid w:val="00225BF6"/>
    <w:rsid w:val="002F43C6"/>
    <w:rsid w:val="00344B34"/>
    <w:rsid w:val="003C1303"/>
    <w:rsid w:val="003F6BAF"/>
    <w:rsid w:val="00426933"/>
    <w:rsid w:val="0045760E"/>
    <w:rsid w:val="0049181E"/>
    <w:rsid w:val="004F0847"/>
    <w:rsid w:val="005C19CE"/>
    <w:rsid w:val="005D50AA"/>
    <w:rsid w:val="005E509E"/>
    <w:rsid w:val="0062491A"/>
    <w:rsid w:val="006E6079"/>
    <w:rsid w:val="007011DF"/>
    <w:rsid w:val="007A3948"/>
    <w:rsid w:val="007C1E68"/>
    <w:rsid w:val="008718AE"/>
    <w:rsid w:val="008917C7"/>
    <w:rsid w:val="008D4553"/>
    <w:rsid w:val="00A30941"/>
    <w:rsid w:val="00A83C3D"/>
    <w:rsid w:val="00AB175E"/>
    <w:rsid w:val="00B03DAA"/>
    <w:rsid w:val="00B66ED4"/>
    <w:rsid w:val="00B839FD"/>
    <w:rsid w:val="00BE32DD"/>
    <w:rsid w:val="00C1686E"/>
    <w:rsid w:val="00C71C90"/>
    <w:rsid w:val="00CF7B15"/>
    <w:rsid w:val="00E83396"/>
    <w:rsid w:val="00E90E95"/>
    <w:rsid w:val="00E91582"/>
    <w:rsid w:val="00F0105D"/>
    <w:rsid w:val="00F16851"/>
    <w:rsid w:val="00F83888"/>
    <w:rsid w:val="00F84E52"/>
    <w:rsid w:val="00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9EF238"/>
  <w15:chartTrackingRefBased/>
  <w15:docId w15:val="{FDEC36FC-BA38-4586-B483-9493E0D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0A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F6B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F6BAF"/>
    <w:pPr>
      <w:keepNext/>
      <w:spacing w:before="240" w:after="60"/>
      <w:outlineLvl w:val="1"/>
    </w:pPr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F6BAF"/>
    <w:pPr>
      <w:keepNext/>
      <w:spacing w:before="360" w:after="180"/>
      <w:outlineLvl w:val="2"/>
    </w:pPr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6B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F6BAF"/>
    <w:rPr>
      <w:rFonts w:ascii="Agency FB" w:eastAsiaTheme="majorEastAsia" w:hAnsi="Agency FB"/>
      <w:b/>
      <w:bCs/>
      <w:iCs/>
      <w:outline/>
      <w:shadow/>
      <w:color w:val="000000" w:themeColor="text1"/>
      <w:sz w:val="32"/>
      <w:szCs w:val="28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3F6BAF"/>
    <w:pPr>
      <w:keepLines/>
      <w:spacing w:after="0"/>
      <w:outlineLvl w:val="9"/>
    </w:pPr>
    <w:rPr>
      <w:b w:val="0"/>
      <w:bCs w:val="0"/>
      <w:color w:val="2E74B5"/>
      <w:kern w:val="0"/>
    </w:rPr>
  </w:style>
  <w:style w:type="character" w:customStyle="1" w:styleId="Ttulo3Car">
    <w:name w:val="Título 3 Car"/>
    <w:basedOn w:val="Fuentedeprrafopredeter"/>
    <w:link w:val="Ttulo3"/>
    <w:uiPriority w:val="9"/>
    <w:rsid w:val="003F6BAF"/>
    <w:rPr>
      <w:rFonts w:ascii="Agency FB" w:eastAsiaTheme="majorEastAsia" w:hAnsi="Agency FB" w:cstheme="majorBidi"/>
      <w:b/>
      <w:bCs/>
      <w:spacing w:val="12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D50A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50AA"/>
    <w:rPr>
      <w:rFonts w:ascii="Times New Roman" w:eastAsia="Times New Roman" w:hAnsi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5D50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D50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0AA"/>
    <w:rPr>
      <w:rFonts w:ascii="Times New Roman" w:eastAsia="Times New Roman" w:hAnsi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679FF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79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9FF"/>
    <w:rPr>
      <w:rFonts w:ascii="Segoe UI" w:eastAsia="Times New Roman" w:hAnsi="Segoe UI" w:cs="Segoe UI"/>
      <w:sz w:val="18"/>
      <w:szCs w:val="18"/>
      <w:lang w:val="en-US"/>
    </w:rPr>
  </w:style>
  <w:style w:type="paragraph" w:styleId="Prrafodelista">
    <w:name w:val="List Paragraph"/>
    <w:basedOn w:val="Normal"/>
    <w:uiPriority w:val="34"/>
    <w:qFormat/>
    <w:rsid w:val="00225B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3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S/TXT/PDF/?uri=CELEX:52021PC0322&amp;from=EN" TargetMode="External"/><Relationship Id="rId2" Type="http://schemas.openxmlformats.org/officeDocument/2006/relationships/hyperlink" Target="https://www.boe.es/buscar/doc.php?id=DOUE-Z-2021-70014" TargetMode="External"/><Relationship Id="rId1" Type="http://schemas.openxmlformats.org/officeDocument/2006/relationships/hyperlink" Target="https://www.miteco.gob.es/es/ministerio/recuperacion-transformacion-resiliencia/transicion-verde/guiadnshmitecov20_tcm30-528436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824BE-FC26-49B5-925E-2E1F2307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Fidalgo Valverde, Beatriz</dc:creator>
  <cp:keywords/>
  <dc:description/>
  <cp:lastModifiedBy>González-Salamanca Pérez, Alejandro</cp:lastModifiedBy>
  <cp:revision>8</cp:revision>
  <cp:lastPrinted>2021-07-05T12:08:00Z</cp:lastPrinted>
  <dcterms:created xsi:type="dcterms:W3CDTF">2021-07-14T08:58:00Z</dcterms:created>
  <dcterms:modified xsi:type="dcterms:W3CDTF">2021-12-10T11:23:00Z</dcterms:modified>
</cp:coreProperties>
</file>