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9FCE" w14:textId="3BF8DAE2" w:rsidR="00C56803" w:rsidRPr="00F53CEF" w:rsidRDefault="00D0197F" w:rsidP="00AB7135">
      <w:pPr>
        <w:pStyle w:val="Textoindependiente"/>
        <w:ind w:left="340" w:hanging="340"/>
        <w:sectPr w:rsidR="00C56803" w:rsidRPr="00F53CEF" w:rsidSect="00DA4D52">
          <w:headerReference w:type="default" r:id="rId8"/>
          <w:footerReference w:type="even" r:id="rId9"/>
          <w:footerReference w:type="default" r:id="rId10"/>
          <w:headerReference w:type="first" r:id="rId11"/>
          <w:footerReference w:type="first" r:id="rId12"/>
          <w:pgSz w:w="11900" w:h="16840"/>
          <w:pgMar w:top="1134" w:right="1134" w:bottom="1418" w:left="1701" w:header="567" w:footer="567" w:gutter="0"/>
          <w:cols w:space="708"/>
          <w:titlePg/>
          <w:docGrid w:linePitch="360"/>
        </w:sectPr>
      </w:pPr>
      <w:r>
        <w:rPr>
          <w:noProof/>
          <w:lang w:eastAsia="es-ES_tradnl"/>
        </w:rPr>
        <mc:AlternateContent>
          <mc:Choice Requires="wps">
            <w:drawing>
              <wp:anchor distT="0" distB="0" distL="114300" distR="114300" simplePos="0" relativeHeight="251660288" behindDoc="0" locked="0" layoutInCell="1" allowOverlap="1" wp14:anchorId="0FFE730E" wp14:editId="578F49F1">
                <wp:simplePos x="0" y="0"/>
                <wp:positionH relativeFrom="column">
                  <wp:posOffset>-74295</wp:posOffset>
                </wp:positionH>
                <wp:positionV relativeFrom="paragraph">
                  <wp:posOffset>3969385</wp:posOffset>
                </wp:positionV>
                <wp:extent cx="5788660" cy="2841625"/>
                <wp:effectExtent l="0" t="0" r="2540" b="24130"/>
                <wp:wrapThrough wrapText="bothSides">
                  <wp:wrapPolygon edited="0">
                    <wp:start x="0" y="0"/>
                    <wp:lineTo x="0" y="21589"/>
                    <wp:lineTo x="21515" y="21589"/>
                    <wp:lineTo x="21515" y="0"/>
                    <wp:lineTo x="0" y="0"/>
                  </wp:wrapPolygon>
                </wp:wrapThrough>
                <wp:docPr id="7" name="Cuadro de texto 7"/>
                <wp:cNvGraphicFramePr/>
                <a:graphic xmlns:a="http://schemas.openxmlformats.org/drawingml/2006/main">
                  <a:graphicData uri="http://schemas.microsoft.com/office/word/2010/wordprocessingShape">
                    <wps:wsp>
                      <wps:cNvSpPr txBox="1"/>
                      <wps:spPr>
                        <a:xfrm>
                          <a:off x="0" y="0"/>
                          <a:ext cx="5788660" cy="28416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9C33BB" w14:textId="0DFF6963" w:rsidR="005366F6" w:rsidRDefault="005366F6" w:rsidP="000A1326">
                            <w:pPr>
                              <w:pStyle w:val="Ttulo"/>
                            </w:pPr>
                            <w:r w:rsidRPr="00E372A2">
                              <w:t>El mercado</w:t>
                            </w:r>
                            <w:r w:rsidRPr="00E372A2">
                              <w:br/>
                              <w:t>d</w:t>
                            </w:r>
                            <w:r>
                              <w:t>el agua</w:t>
                            </w:r>
                            <w:r w:rsidRPr="00E372A2">
                              <w:br/>
                              <w:t>en</w:t>
                            </w:r>
                            <w:r>
                              <w:t xml:space="preserve"> Croacia</w:t>
                            </w:r>
                          </w:p>
                          <w:p w14:paraId="1534FB0D" w14:textId="4947BAFD" w:rsidR="005366F6" w:rsidRPr="000A1326" w:rsidRDefault="005366F6" w:rsidP="000A1326">
                            <w:pPr>
                              <w:pStyle w:val="SubPuesto"/>
                            </w:pPr>
                            <w:r w:rsidRPr="000A1326">
                              <w:t>Oficina Económica y Comercial</w:t>
                            </w:r>
                            <w:r w:rsidRPr="000A1326">
                              <w:rPr>
                                <w:rFonts w:ascii="MingLiU" w:eastAsia="MingLiU" w:hAnsi="MingLiU" w:cs="MingLiU"/>
                              </w:rPr>
                              <w:br/>
                            </w:r>
                            <w:r w:rsidRPr="000A1326">
                              <w:t xml:space="preserve">de la Embajada de España en </w:t>
                            </w:r>
                            <w:r>
                              <w:t>Zagreb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0FFE730E" id="_x0000_t202" coordsize="21600,21600" o:spt="202" path="m,l,21600r21600,l21600,xe">
                <v:stroke joinstyle="miter"/>
                <v:path gradientshapeok="t" o:connecttype="rect"/>
              </v:shapetype>
              <v:shape id="Cuadro de texto 7" o:spid="_x0000_s1026" type="#_x0000_t202" style="position:absolute;left:0;text-align:left;margin-left:-5.85pt;margin-top:312.55pt;width:455.8pt;height:22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" filled="f" stroked="f">
                <v:textbox style="mso-fit-shape-to-text:t" inset="0,0,0,0">
                  <w:txbxContent>
                    <w:p w14:paraId="109C33BB" w14:textId="0DFF6963" w:rsidR="005366F6" w:rsidRDefault="005366F6" w:rsidP="000A1326">
                      <w:pPr>
                        <w:pStyle w:val="Ttulo"/>
                      </w:pPr>
                      <w:r w:rsidRPr="00E372A2">
                        <w:t>El mercado</w:t>
                      </w:r>
                      <w:r w:rsidRPr="00E372A2">
                        <w:br/>
                        <w:t>d</w:t>
                      </w:r>
                      <w:r>
                        <w:t>el agua</w:t>
                      </w:r>
                      <w:r w:rsidRPr="00E372A2">
                        <w:br/>
                        <w:t>en</w:t>
                      </w:r>
                      <w:r>
                        <w:t xml:space="preserve"> Croacia</w:t>
                      </w:r>
                    </w:p>
                    <w:p w14:paraId="1534FB0D" w14:textId="4947BAFD" w:rsidR="005366F6" w:rsidRPr="000A1326" w:rsidRDefault="005366F6" w:rsidP="000A1326">
                      <w:pPr>
                        <w:pStyle w:val="SubPuesto"/>
                      </w:pPr>
                      <w:r w:rsidRPr="000A1326">
                        <w:t>Oficina Económica y Comercial</w:t>
                      </w:r>
                      <w:r w:rsidRPr="000A1326">
                        <w:rPr>
                          <w:rFonts w:ascii="MingLiU" w:eastAsia="MingLiU" w:hAnsi="MingLiU" w:cs="MingLiU"/>
                        </w:rPr>
                        <w:br/>
                      </w:r>
                      <w:r w:rsidRPr="000A1326">
                        <w:t xml:space="preserve">de la Embajada de España en </w:t>
                      </w:r>
                      <w:r>
                        <w:t>Zagreb</w:t>
                      </w:r>
                    </w:p>
                  </w:txbxContent>
                </v:textbox>
                <w10:wrap type="through"/>
              </v:shape>
            </w:pict>
          </mc:Fallback>
        </mc:AlternateContent>
      </w:r>
      <w:r w:rsidR="004668B8">
        <w:rPr>
          <w:noProof/>
          <w:lang w:eastAsia="es-ES_tradnl"/>
        </w:rPr>
        <mc:AlternateContent>
          <mc:Choice Requires="wps">
            <w:drawing>
              <wp:anchor distT="0" distB="0" distL="114300" distR="114300" simplePos="0" relativeHeight="251664384" behindDoc="0" locked="0" layoutInCell="1" allowOverlap="1" wp14:anchorId="2EBB3BB1" wp14:editId="6D0EB844">
                <wp:simplePos x="0" y="0"/>
                <wp:positionH relativeFrom="column">
                  <wp:posOffset>4896485</wp:posOffset>
                </wp:positionH>
                <wp:positionV relativeFrom="paragraph">
                  <wp:posOffset>881380</wp:posOffset>
                </wp:positionV>
                <wp:extent cx="1177200" cy="784800"/>
                <wp:effectExtent l="0" t="0" r="0" b="3175"/>
                <wp:wrapNone/>
                <wp:docPr id="73" name="Cuadro de texto 73"/>
                <wp:cNvGraphicFramePr/>
                <a:graphic xmlns:a="http://schemas.openxmlformats.org/drawingml/2006/main">
                  <a:graphicData uri="http://schemas.microsoft.com/office/word/2010/wordprocessingShape">
                    <wps:wsp>
                      <wps:cNvSpPr txBox="1"/>
                      <wps:spPr>
                        <a:xfrm>
                          <a:off x="0" y="0"/>
                          <a:ext cx="1177200" cy="78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25791A" w14:textId="21E04913" w:rsidR="005366F6" w:rsidRPr="00D0197F" w:rsidRDefault="005366F6" w:rsidP="00A41D9A">
                            <w:pPr>
                              <w:spacing w:after="0" w:line="540" w:lineRule="exact"/>
                              <w:rPr>
                                <w:color w:val="FFFFFF" w:themeColor="background1"/>
                                <w:sz w:val="60"/>
                                <w:szCs w:val="60"/>
                                <w:lang w:val="es-ES"/>
                              </w:rPr>
                            </w:pPr>
                            <w:r>
                              <w:rPr>
                                <w:color w:val="FFFFFF" w:themeColor="background1"/>
                                <w:sz w:val="60"/>
                                <w:szCs w:val="60"/>
                                <w:lang w:val="es-ES"/>
                              </w:rPr>
                              <w:t>202</w:t>
                            </w:r>
                            <w:r w:rsidR="003F1253">
                              <w:rPr>
                                <w:color w:val="FFFFFF" w:themeColor="background1"/>
                                <w:sz w:val="60"/>
                                <w:szCs w:val="60"/>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B3BB1" id="Cuadro de texto 73" o:spid="_x0000_s1027" type="#_x0000_t202" style="position:absolute;left:0;text-align:left;margin-left:385.55pt;margin-top:69.4pt;width:92.7pt;height:6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" filled="f" stroked="f">
                <v:textbox>
                  <w:txbxContent>
                    <w:p w14:paraId="5C25791A" w14:textId="21E04913" w:rsidR="005366F6" w:rsidRPr="00D0197F" w:rsidRDefault="005366F6" w:rsidP="00A41D9A">
                      <w:pPr>
                        <w:spacing w:after="0" w:line="540" w:lineRule="exact"/>
                        <w:rPr>
                          <w:color w:val="FFFFFF" w:themeColor="background1"/>
                          <w:sz w:val="60"/>
                          <w:szCs w:val="60"/>
                          <w:lang w:val="es-ES"/>
                        </w:rPr>
                      </w:pPr>
                      <w:r>
                        <w:rPr>
                          <w:color w:val="FFFFFF" w:themeColor="background1"/>
                          <w:sz w:val="60"/>
                          <w:szCs w:val="60"/>
                          <w:lang w:val="es-ES"/>
                        </w:rPr>
                        <w:t>202</w:t>
                      </w:r>
                      <w:r w:rsidR="003F1253">
                        <w:rPr>
                          <w:color w:val="FFFFFF" w:themeColor="background1"/>
                          <w:sz w:val="60"/>
                          <w:szCs w:val="60"/>
                          <w:lang w:val="es-ES"/>
                        </w:rPr>
                        <w:t>3</w:t>
                      </w:r>
                    </w:p>
                  </w:txbxContent>
                </v:textbox>
              </v:shape>
            </w:pict>
          </mc:Fallback>
        </mc:AlternateContent>
      </w:r>
    </w:p>
    <w:p w14:paraId="458A70D5" w14:textId="02A7B05C" w:rsidR="00BC77AC" w:rsidRPr="00190E09" w:rsidRDefault="000B2737" w:rsidP="007C6EDD">
      <w:pPr>
        <w:pStyle w:val="Textoindependiente"/>
        <w:rPr>
          <w:noProof/>
          <w:lang w:eastAsia="es-ES_tradnl"/>
        </w:rPr>
        <w:sectPr w:rsidR="00BC77AC" w:rsidRPr="00190E09" w:rsidSect="004C4ABB">
          <w:headerReference w:type="first" r:id="rId13"/>
          <w:footerReference w:type="first" r:id="rId14"/>
          <w:pgSz w:w="11900" w:h="16840"/>
          <w:pgMar w:top="1418" w:right="1134" w:bottom="1418" w:left="1134" w:header="567" w:footer="567" w:gutter="0"/>
          <w:pgNumType w:start="2"/>
          <w:cols w:space="708"/>
          <w:titlePg/>
          <w:docGrid w:linePitch="360"/>
        </w:sectPr>
      </w:pPr>
      <w:r>
        <w:rPr>
          <w:noProof/>
          <w:lang w:eastAsia="es-ES_tradnl"/>
        </w:rPr>
        <w:lastRenderedPageBreak/>
        <mc:AlternateContent>
          <mc:Choice Requires="wps">
            <w:drawing>
              <wp:anchor distT="0" distB="0" distL="114300" distR="114300" simplePos="0" relativeHeight="251665408" behindDoc="0" locked="1" layoutInCell="1" allowOverlap="1" wp14:anchorId="371A0E18" wp14:editId="08026EB2">
                <wp:simplePos x="0" y="0"/>
                <wp:positionH relativeFrom="margin">
                  <wp:align>left</wp:align>
                </wp:positionH>
                <wp:positionV relativeFrom="paragraph">
                  <wp:posOffset>6443345</wp:posOffset>
                </wp:positionV>
                <wp:extent cx="3927475" cy="2446020"/>
                <wp:effectExtent l="0" t="0" r="0" b="0"/>
                <wp:wrapSquare wrapText="bothSides"/>
                <wp:docPr id="66" name="Cuadro de texto 66"/>
                <wp:cNvGraphicFramePr/>
                <a:graphic xmlns:a="http://schemas.openxmlformats.org/drawingml/2006/main">
                  <a:graphicData uri="http://schemas.microsoft.com/office/word/2010/wordprocessingShape">
                    <wps:wsp>
                      <wps:cNvSpPr txBox="1"/>
                      <wps:spPr>
                        <a:xfrm>
                          <a:off x="0" y="0"/>
                          <a:ext cx="3927475" cy="2446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B085B3" w14:textId="7A06E39A" w:rsidR="005366F6" w:rsidRPr="00841F97" w:rsidRDefault="00633AD2" w:rsidP="00841F97">
                            <w:pPr>
                              <w:pStyle w:val="CrditosdePublicacin"/>
                            </w:pPr>
                            <w:r>
                              <w:t>1 de septiembre</w:t>
                            </w:r>
                            <w:r w:rsidR="005366F6">
                              <w:t xml:space="preserve"> de 202</w:t>
                            </w:r>
                            <w:r w:rsidR="003F1253">
                              <w:t>3</w:t>
                            </w:r>
                            <w:r w:rsidR="005366F6" w:rsidRPr="00841F97">
                              <w:br/>
                            </w:r>
                            <w:r w:rsidR="005366F6">
                              <w:t>Zagreb</w:t>
                            </w:r>
                          </w:p>
                          <w:p w14:paraId="71985A1F" w14:textId="77777777" w:rsidR="00294341" w:rsidRDefault="003E5264" w:rsidP="003E5264">
                            <w:pPr>
                              <w:pStyle w:val="CrditosdePublicacin"/>
                              <w:spacing w:after="0"/>
                              <w:rPr>
                                <w:color w:val="373737"/>
                                <w:szCs w:val="18"/>
                              </w:rPr>
                            </w:pPr>
                            <w:r>
                              <w:rPr>
                                <w:color w:val="373737"/>
                                <w:szCs w:val="18"/>
                              </w:rPr>
                              <w:t xml:space="preserve">Este estudio ha sido realizado por </w:t>
                            </w:r>
                          </w:p>
                          <w:p w14:paraId="75EF499D" w14:textId="64BAE963" w:rsidR="003F1253" w:rsidRDefault="003F1253" w:rsidP="003E5264">
                            <w:pPr>
                              <w:pStyle w:val="CrditosdePublicacin"/>
                              <w:spacing w:after="0"/>
                            </w:pPr>
                            <w:r w:rsidRPr="00294341">
                              <w:t xml:space="preserve">Adriana </w:t>
                            </w:r>
                            <w:proofErr w:type="spellStart"/>
                            <w:r w:rsidRPr="00294341">
                              <w:t>Nicolay</w:t>
                            </w:r>
                            <w:proofErr w:type="spellEnd"/>
                            <w:r w:rsidRPr="00294341">
                              <w:t xml:space="preserve"> Grao</w:t>
                            </w:r>
                          </w:p>
                          <w:p w14:paraId="585FFFDA" w14:textId="77777777" w:rsidR="003E5264" w:rsidRDefault="003E5264" w:rsidP="003E5264">
                            <w:pPr>
                              <w:pStyle w:val="CrditosdePublicacin"/>
                              <w:spacing w:after="0"/>
                            </w:pPr>
                          </w:p>
                          <w:p w14:paraId="424D980B" w14:textId="77777777" w:rsidR="003E5264" w:rsidRPr="00841F97" w:rsidRDefault="003E5264" w:rsidP="003E5264">
                            <w:pPr>
                              <w:pStyle w:val="CrditosdePublicacin"/>
                              <w:spacing w:after="0"/>
                            </w:pPr>
                          </w:p>
                          <w:p w14:paraId="2ED73D91" w14:textId="1242A727" w:rsidR="005366F6" w:rsidRDefault="005366F6" w:rsidP="00841F97">
                            <w:pPr>
                              <w:pStyle w:val="CrditosdePublicacin"/>
                            </w:pPr>
                            <w:r w:rsidRPr="00841F97">
                              <w:t xml:space="preserve">Bajo la supervisión de la Oficina Económica y Comercial </w:t>
                            </w:r>
                            <w:r w:rsidRPr="00841F97">
                              <w:rPr>
                                <w:rFonts w:eastAsia="MingLiU"/>
                              </w:rPr>
                              <w:br/>
                            </w:r>
                            <w:r w:rsidRPr="00841F97">
                              <w:t>de la Embajada de España en</w:t>
                            </w:r>
                            <w:r>
                              <w:t xml:space="preserve"> Zagreb</w:t>
                            </w:r>
                          </w:p>
                          <w:p w14:paraId="4230610F" w14:textId="328C5C8B" w:rsidR="005366F6" w:rsidRPr="00841F97" w:rsidRDefault="003666E1" w:rsidP="0092116E">
                            <w:pPr>
                              <w:pStyle w:val="CrditosdePublicacin"/>
                            </w:pPr>
                            <w:hyperlink r:id="rId15" w:history="1">
                              <w:r w:rsidR="005366F6" w:rsidRPr="00441BCF">
                                <w:rPr>
                                  <w:rStyle w:val="Hipervnculo"/>
                                  <w:sz w:val="18"/>
                                </w:rPr>
                                <w:t>http://croacia.oficinascomerciales.es</w:t>
                              </w:r>
                            </w:hyperlink>
                          </w:p>
                          <w:p w14:paraId="26732447" w14:textId="7EE6C6FD" w:rsidR="005366F6" w:rsidRDefault="005366F6" w:rsidP="00181D86">
                            <w:pPr>
                              <w:rPr>
                                <w:rStyle w:val="Referenciasutil"/>
                              </w:rPr>
                            </w:pPr>
                            <w:r w:rsidRPr="003451AB">
                              <w:rPr>
                                <w:rStyle w:val="Referenciasutil"/>
                              </w:rPr>
                              <w:t>Editado por ICEX España Exportación e Inversiones, E.P.E.</w:t>
                            </w:r>
                          </w:p>
                          <w:p w14:paraId="2293EDA9" w14:textId="2E93C949" w:rsidR="005366F6" w:rsidRPr="003451AB" w:rsidRDefault="005366F6" w:rsidP="00181D86">
                            <w:pPr>
                              <w:rPr>
                                <w:rStyle w:val="Referenciasutil"/>
                              </w:rPr>
                            </w:pPr>
                            <w:r w:rsidRPr="006E6C82">
                              <w:rPr>
                                <w:rStyle w:val="Referenciasutil"/>
                              </w:rPr>
                              <w:t xml:space="preserve">NIPO: </w:t>
                            </w:r>
                            <w:r w:rsidRPr="002D1D4E">
                              <w:rPr>
                                <w:rStyle w:val="Referenciasutil"/>
                              </w:rPr>
                              <w:t>114</w:t>
                            </w:r>
                            <w:r>
                              <w:rPr>
                                <w:rStyle w:val="Referenciasutil"/>
                              </w:rPr>
                              <w:t>-</w:t>
                            </w:r>
                            <w:r w:rsidRPr="002D1D4E">
                              <w:rPr>
                                <w:rStyle w:val="Referenciasutil"/>
                              </w:rPr>
                              <w:t>2</w:t>
                            </w:r>
                            <w:r w:rsidR="003F1253">
                              <w:rPr>
                                <w:rStyle w:val="Referenciasutil"/>
                              </w:rPr>
                              <w:t>3</w:t>
                            </w:r>
                            <w:r>
                              <w:rPr>
                                <w:rStyle w:val="Referenciasutil"/>
                              </w:rPr>
                              <w:t>-</w:t>
                            </w:r>
                            <w:r w:rsidRPr="002D1D4E">
                              <w:rPr>
                                <w:rStyle w:val="Referenciasutil"/>
                              </w:rPr>
                              <w:t>0</w:t>
                            </w:r>
                            <w:r w:rsidR="003F1253">
                              <w:rPr>
                                <w:rStyle w:val="Referenciasutil"/>
                              </w:rPr>
                              <w:t>10</w:t>
                            </w:r>
                            <w:r>
                              <w:rPr>
                                <w:rStyle w:val="Referenciasutil"/>
                              </w:rPr>
                              <w:t>-</w:t>
                            </w:r>
                            <w:r w:rsidR="003F1253">
                              <w:rPr>
                                <w:rStyle w:val="Referenciasutil"/>
                              </w:rPr>
                              <w:t>0</w:t>
                            </w:r>
                          </w:p>
                          <w:p w14:paraId="52DE271A" w14:textId="0B751A00" w:rsidR="005366F6" w:rsidRPr="00841F97" w:rsidRDefault="005366F6" w:rsidP="00181D86">
                            <w:pPr>
                              <w:pStyle w:val="CrditosdePublicacin"/>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A0E18" id="_x0000_t202" coordsize="21600,21600" o:spt="202" path="m,l,21600r21600,l21600,xe">
                <v:stroke joinstyle="miter"/>
                <v:path gradientshapeok="t" o:connecttype="rect"/>
              </v:shapetype>
              <v:shape id="Cuadro de texto 66" o:spid="_x0000_s1028" type="#_x0000_t202" style="position:absolute;left:0;text-align:left;margin-left:0;margin-top:507.35pt;width:309.25pt;height:192.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" filled="f" stroked="f">
                <v:textbox>
                  <w:txbxContent>
                    <w:p w14:paraId="78B085B3" w14:textId="7A06E39A" w:rsidR="005366F6" w:rsidRPr="00841F97" w:rsidRDefault="00633AD2" w:rsidP="00841F97">
                      <w:pPr>
                        <w:pStyle w:val="CrditosdePublicacin"/>
                      </w:pPr>
                      <w:r>
                        <w:t>1 de septiembre</w:t>
                      </w:r>
                      <w:r w:rsidR="005366F6">
                        <w:t xml:space="preserve"> de 202</w:t>
                      </w:r>
                      <w:r w:rsidR="003F1253">
                        <w:t>3</w:t>
                      </w:r>
                      <w:r w:rsidR="005366F6" w:rsidRPr="00841F97">
                        <w:br/>
                      </w:r>
                      <w:r w:rsidR="005366F6">
                        <w:t>Zagreb</w:t>
                      </w:r>
                    </w:p>
                    <w:p w14:paraId="71985A1F" w14:textId="77777777" w:rsidR="00294341" w:rsidRDefault="003E5264" w:rsidP="003E5264">
                      <w:pPr>
                        <w:pStyle w:val="CrditosdePublicacin"/>
                        <w:spacing w:after="0"/>
                        <w:rPr>
                          <w:color w:val="373737"/>
                          <w:szCs w:val="18"/>
                        </w:rPr>
                      </w:pPr>
                      <w:r>
                        <w:rPr>
                          <w:color w:val="373737"/>
                          <w:szCs w:val="18"/>
                        </w:rPr>
                        <w:t xml:space="preserve">Este estudio ha sido realizado por </w:t>
                      </w:r>
                    </w:p>
                    <w:p w14:paraId="75EF499D" w14:textId="64BAE963" w:rsidR="003F1253" w:rsidRDefault="003F1253" w:rsidP="003E5264">
                      <w:pPr>
                        <w:pStyle w:val="CrditosdePublicacin"/>
                        <w:spacing w:after="0"/>
                      </w:pPr>
                      <w:r w:rsidRPr="00294341">
                        <w:t xml:space="preserve">Adriana </w:t>
                      </w:r>
                      <w:proofErr w:type="spellStart"/>
                      <w:r w:rsidRPr="00294341">
                        <w:t>Nicolay</w:t>
                      </w:r>
                      <w:proofErr w:type="spellEnd"/>
                      <w:r w:rsidRPr="00294341">
                        <w:t xml:space="preserve"> Grao</w:t>
                      </w:r>
                    </w:p>
                    <w:p w14:paraId="585FFFDA" w14:textId="77777777" w:rsidR="003E5264" w:rsidRDefault="003E5264" w:rsidP="003E5264">
                      <w:pPr>
                        <w:pStyle w:val="CrditosdePublicacin"/>
                        <w:spacing w:after="0"/>
                      </w:pPr>
                    </w:p>
                    <w:p w14:paraId="424D980B" w14:textId="77777777" w:rsidR="003E5264" w:rsidRPr="00841F97" w:rsidRDefault="003E5264" w:rsidP="003E5264">
                      <w:pPr>
                        <w:pStyle w:val="CrditosdePublicacin"/>
                        <w:spacing w:after="0"/>
                      </w:pPr>
                    </w:p>
                    <w:p w14:paraId="2ED73D91" w14:textId="1242A727" w:rsidR="005366F6" w:rsidRDefault="005366F6" w:rsidP="00841F97">
                      <w:pPr>
                        <w:pStyle w:val="CrditosdePublicacin"/>
                      </w:pPr>
                      <w:r w:rsidRPr="00841F97">
                        <w:t xml:space="preserve">Bajo la supervisión de la Oficina Económica y Comercial </w:t>
                      </w:r>
                      <w:r w:rsidRPr="00841F97">
                        <w:rPr>
                          <w:rFonts w:eastAsia="MingLiU"/>
                        </w:rPr>
                        <w:br/>
                      </w:r>
                      <w:r w:rsidRPr="00841F97">
                        <w:t>de la Embajada de España en</w:t>
                      </w:r>
                      <w:r>
                        <w:t xml:space="preserve"> Zagreb</w:t>
                      </w:r>
                    </w:p>
                    <w:p w14:paraId="4230610F" w14:textId="328C5C8B" w:rsidR="005366F6" w:rsidRPr="00841F97" w:rsidRDefault="000C2084" w:rsidP="0092116E">
                      <w:pPr>
                        <w:pStyle w:val="CrditosdePublicacin"/>
                      </w:pPr>
                      <w:hyperlink r:id="rId16" w:history="1">
                        <w:r w:rsidR="005366F6" w:rsidRPr="00441BCF">
                          <w:rPr>
                            <w:rStyle w:val="Hipervnculo"/>
                            <w:sz w:val="18"/>
                          </w:rPr>
                          <w:t>http://croacia.oficinascomerciales.es</w:t>
                        </w:r>
                      </w:hyperlink>
                    </w:p>
                    <w:p w14:paraId="26732447" w14:textId="7EE6C6FD" w:rsidR="005366F6" w:rsidRDefault="005366F6" w:rsidP="00181D86">
                      <w:pPr>
                        <w:rPr>
                          <w:rStyle w:val="Referenciasutil"/>
                        </w:rPr>
                      </w:pPr>
                      <w:r w:rsidRPr="003451AB">
                        <w:rPr>
                          <w:rStyle w:val="Referenciasutil"/>
                        </w:rPr>
                        <w:t>Editado por ICEX España Exportación e Inversiones, E.P.E.</w:t>
                      </w:r>
                    </w:p>
                    <w:p w14:paraId="2293EDA9" w14:textId="2E93C949" w:rsidR="005366F6" w:rsidRPr="003451AB" w:rsidRDefault="005366F6" w:rsidP="00181D86">
                      <w:pPr>
                        <w:rPr>
                          <w:rStyle w:val="Referenciasutil"/>
                        </w:rPr>
                      </w:pPr>
                      <w:r w:rsidRPr="006E6C82">
                        <w:rPr>
                          <w:rStyle w:val="Referenciasutil"/>
                        </w:rPr>
                        <w:t xml:space="preserve">NIPO: </w:t>
                      </w:r>
                      <w:r w:rsidRPr="002D1D4E">
                        <w:rPr>
                          <w:rStyle w:val="Referenciasutil"/>
                        </w:rPr>
                        <w:t>114</w:t>
                      </w:r>
                      <w:r>
                        <w:rPr>
                          <w:rStyle w:val="Referenciasutil"/>
                        </w:rPr>
                        <w:t>-</w:t>
                      </w:r>
                      <w:r w:rsidRPr="002D1D4E">
                        <w:rPr>
                          <w:rStyle w:val="Referenciasutil"/>
                        </w:rPr>
                        <w:t>2</w:t>
                      </w:r>
                      <w:r w:rsidR="003F1253">
                        <w:rPr>
                          <w:rStyle w:val="Referenciasutil"/>
                        </w:rPr>
                        <w:t>3</w:t>
                      </w:r>
                      <w:r>
                        <w:rPr>
                          <w:rStyle w:val="Referenciasutil"/>
                        </w:rPr>
                        <w:t>-</w:t>
                      </w:r>
                      <w:r w:rsidRPr="002D1D4E">
                        <w:rPr>
                          <w:rStyle w:val="Referenciasutil"/>
                        </w:rPr>
                        <w:t>0</w:t>
                      </w:r>
                      <w:r w:rsidR="003F1253">
                        <w:rPr>
                          <w:rStyle w:val="Referenciasutil"/>
                        </w:rPr>
                        <w:t>10</w:t>
                      </w:r>
                      <w:r>
                        <w:rPr>
                          <w:rStyle w:val="Referenciasutil"/>
                        </w:rPr>
                        <w:t>-</w:t>
                      </w:r>
                      <w:r w:rsidR="003F1253">
                        <w:rPr>
                          <w:rStyle w:val="Referenciasutil"/>
                        </w:rPr>
                        <w:t>0</w:t>
                      </w:r>
                    </w:p>
                    <w:p w14:paraId="52DE271A" w14:textId="0B751A00" w:rsidR="005366F6" w:rsidRPr="00841F97" w:rsidRDefault="005366F6" w:rsidP="00181D86">
                      <w:pPr>
                        <w:pStyle w:val="CrditosdePublicacin"/>
                      </w:pPr>
                    </w:p>
                  </w:txbxContent>
                </v:textbox>
                <w10:wrap type="square" anchorx="margin"/>
                <w10:anchorlock/>
              </v:shape>
            </w:pict>
          </mc:Fallback>
        </mc:AlternateContent>
      </w:r>
    </w:p>
    <w:p w14:paraId="274FD166" w14:textId="77777777" w:rsidR="00814CCF" w:rsidRPr="00526958" w:rsidRDefault="00814CCF" w:rsidP="00CE4CC0">
      <w:pPr>
        <w:pStyle w:val="Ttulondice"/>
      </w:pPr>
      <w:bookmarkStart w:id="0" w:name="_Toc479593626"/>
      <w:bookmarkStart w:id="1" w:name="_Toc479594581"/>
      <w:r w:rsidRPr="00526958">
        <w:lastRenderedPageBreak/>
        <w:t>Índice</w:t>
      </w:r>
    </w:p>
    <w:p w14:paraId="0A260D0F" w14:textId="2DAE37F9" w:rsidR="007E16A2" w:rsidRDefault="00850AE5">
      <w:pPr>
        <w:pStyle w:val="TDC1"/>
        <w:rPr>
          <w:rFonts w:asciiTheme="minorHAnsi" w:eastAsiaTheme="minorEastAsia" w:hAnsiTheme="minorHAnsi" w:cstheme="minorBidi"/>
          <w:color w:val="auto"/>
          <w:kern w:val="2"/>
          <w:sz w:val="22"/>
          <w:szCs w:val="22"/>
          <w14:ligatures w14:val="standardContextual"/>
        </w:rPr>
      </w:pPr>
      <w:r>
        <w:fldChar w:fldCharType="begin"/>
      </w:r>
      <w:r>
        <w:instrText xml:space="preserve"> TOC \o "1-3" </w:instrText>
      </w:r>
      <w:r>
        <w:fldChar w:fldCharType="separate"/>
      </w:r>
      <w:r w:rsidR="007E16A2" w:rsidRPr="004E2EF1">
        <w:rPr>
          <w:rFonts w:ascii="Arial" w:hAnsi="Arial"/>
          <w:color w:val="E2231A"/>
        </w:rPr>
        <w:t>1.</w:t>
      </w:r>
      <w:r w:rsidR="007E16A2">
        <w:t xml:space="preserve"> Resumen ejecutivo</w:t>
      </w:r>
      <w:r w:rsidR="007E16A2">
        <w:tab/>
      </w:r>
      <w:r w:rsidR="007E16A2">
        <w:fldChar w:fldCharType="begin"/>
      </w:r>
      <w:r w:rsidR="007E16A2">
        <w:instrText xml:space="preserve"> PAGEREF _Toc148363690 \h </w:instrText>
      </w:r>
      <w:r w:rsidR="007E16A2">
        <w:fldChar w:fldCharType="separate"/>
      </w:r>
      <w:r w:rsidR="007E16A2">
        <w:t>4</w:t>
      </w:r>
      <w:r w:rsidR="007E16A2">
        <w:fldChar w:fldCharType="end"/>
      </w:r>
    </w:p>
    <w:p w14:paraId="70CFB8CF" w14:textId="582D110C" w:rsidR="007E16A2" w:rsidRDefault="007E16A2">
      <w:pPr>
        <w:pStyle w:val="TDC1"/>
        <w:rPr>
          <w:rFonts w:asciiTheme="minorHAnsi" w:eastAsiaTheme="minorEastAsia" w:hAnsiTheme="minorHAnsi" w:cstheme="minorBidi"/>
          <w:color w:val="auto"/>
          <w:kern w:val="2"/>
          <w:sz w:val="22"/>
          <w:szCs w:val="22"/>
          <w14:ligatures w14:val="standardContextual"/>
        </w:rPr>
      </w:pPr>
      <w:r w:rsidRPr="004E2EF1">
        <w:rPr>
          <w:rFonts w:ascii="Arial" w:hAnsi="Arial"/>
          <w:color w:val="E2231A"/>
        </w:rPr>
        <w:t>2.</w:t>
      </w:r>
      <w:r>
        <w:t xml:space="preserve"> Definición del sector</w:t>
      </w:r>
      <w:r>
        <w:tab/>
      </w:r>
      <w:r>
        <w:fldChar w:fldCharType="begin"/>
      </w:r>
      <w:r>
        <w:instrText xml:space="preserve"> PAGEREF _Toc148363691 \h </w:instrText>
      </w:r>
      <w:r>
        <w:fldChar w:fldCharType="separate"/>
      </w:r>
      <w:r>
        <w:t>7</w:t>
      </w:r>
      <w:r>
        <w:fldChar w:fldCharType="end"/>
      </w:r>
    </w:p>
    <w:p w14:paraId="6BF1DE86" w14:textId="5EC17B3C" w:rsidR="007E16A2" w:rsidRDefault="007E16A2">
      <w:pPr>
        <w:pStyle w:val="TDC2"/>
        <w:rPr>
          <w:rFonts w:asciiTheme="minorHAnsi" w:eastAsiaTheme="minorEastAsia" w:hAnsiTheme="minorHAnsi"/>
          <w:noProof/>
          <w:color w:val="auto"/>
          <w:kern w:val="2"/>
          <w:sz w:val="22"/>
          <w:szCs w:val="22"/>
          <w:lang w:val="es-ES" w:eastAsia="es-ES"/>
          <w14:ligatures w14:val="standardContextual"/>
        </w:rPr>
      </w:pPr>
      <w:r w:rsidRPr="004E2EF1">
        <w:rPr>
          <w:caps/>
          <w:noProof/>
          <w:color w:val="E2231A"/>
        </w:rPr>
        <w:t>2.1.</w:t>
      </w:r>
      <w:r>
        <w:rPr>
          <w:noProof/>
        </w:rPr>
        <w:t xml:space="preserve"> Características generales del sector</w:t>
      </w:r>
      <w:r>
        <w:rPr>
          <w:noProof/>
        </w:rPr>
        <w:tab/>
      </w:r>
      <w:r>
        <w:rPr>
          <w:noProof/>
        </w:rPr>
        <w:fldChar w:fldCharType="begin"/>
      </w:r>
      <w:r>
        <w:rPr>
          <w:noProof/>
        </w:rPr>
        <w:instrText xml:space="preserve"> PAGEREF _Toc148363692 \h </w:instrText>
      </w:r>
      <w:r>
        <w:rPr>
          <w:noProof/>
        </w:rPr>
      </w:r>
      <w:r>
        <w:rPr>
          <w:noProof/>
        </w:rPr>
        <w:fldChar w:fldCharType="separate"/>
      </w:r>
      <w:r>
        <w:rPr>
          <w:noProof/>
        </w:rPr>
        <w:t>7</w:t>
      </w:r>
      <w:r>
        <w:rPr>
          <w:noProof/>
        </w:rPr>
        <w:fldChar w:fldCharType="end"/>
      </w:r>
    </w:p>
    <w:p w14:paraId="38F2A84D" w14:textId="0CC0FA62" w:rsidR="007E16A2" w:rsidRDefault="007E16A2">
      <w:pPr>
        <w:pStyle w:val="TDC2"/>
        <w:rPr>
          <w:rFonts w:asciiTheme="minorHAnsi" w:eastAsiaTheme="minorEastAsia" w:hAnsiTheme="minorHAnsi"/>
          <w:noProof/>
          <w:color w:val="auto"/>
          <w:kern w:val="2"/>
          <w:sz w:val="22"/>
          <w:szCs w:val="22"/>
          <w:lang w:val="es-ES" w:eastAsia="es-ES"/>
          <w14:ligatures w14:val="standardContextual"/>
        </w:rPr>
      </w:pPr>
      <w:r w:rsidRPr="004E2EF1">
        <w:rPr>
          <w:caps/>
          <w:noProof/>
          <w:color w:val="E2231A"/>
        </w:rPr>
        <w:t>2.2.</w:t>
      </w:r>
      <w:r>
        <w:rPr>
          <w:noProof/>
        </w:rPr>
        <w:t xml:space="preserve"> Organización del sector y principales actores</w:t>
      </w:r>
      <w:r>
        <w:rPr>
          <w:noProof/>
        </w:rPr>
        <w:tab/>
      </w:r>
      <w:r>
        <w:rPr>
          <w:noProof/>
        </w:rPr>
        <w:fldChar w:fldCharType="begin"/>
      </w:r>
      <w:r>
        <w:rPr>
          <w:noProof/>
        </w:rPr>
        <w:instrText xml:space="preserve"> PAGEREF _Toc148363693 \h </w:instrText>
      </w:r>
      <w:r>
        <w:rPr>
          <w:noProof/>
        </w:rPr>
      </w:r>
      <w:r>
        <w:rPr>
          <w:noProof/>
        </w:rPr>
        <w:fldChar w:fldCharType="separate"/>
      </w:r>
      <w:r>
        <w:rPr>
          <w:noProof/>
        </w:rPr>
        <w:t>9</w:t>
      </w:r>
      <w:r>
        <w:rPr>
          <w:noProof/>
        </w:rPr>
        <w:fldChar w:fldCharType="end"/>
      </w:r>
    </w:p>
    <w:p w14:paraId="502F61EC" w14:textId="2FA2331C" w:rsidR="007E16A2" w:rsidRDefault="007E16A2">
      <w:pPr>
        <w:pStyle w:val="TDC2"/>
        <w:rPr>
          <w:rFonts w:asciiTheme="minorHAnsi" w:eastAsiaTheme="minorEastAsia" w:hAnsiTheme="minorHAnsi"/>
          <w:noProof/>
          <w:color w:val="auto"/>
          <w:kern w:val="2"/>
          <w:sz w:val="22"/>
          <w:szCs w:val="22"/>
          <w:lang w:val="es-ES" w:eastAsia="es-ES"/>
          <w14:ligatures w14:val="standardContextual"/>
        </w:rPr>
      </w:pPr>
      <w:r w:rsidRPr="004E2EF1">
        <w:rPr>
          <w:caps/>
          <w:noProof/>
          <w:color w:val="E2231A"/>
        </w:rPr>
        <w:t>2.3.</w:t>
      </w:r>
      <w:r>
        <w:rPr>
          <w:noProof/>
        </w:rPr>
        <w:t xml:space="preserve"> Marco regulatorio</w:t>
      </w:r>
      <w:r>
        <w:rPr>
          <w:noProof/>
        </w:rPr>
        <w:tab/>
      </w:r>
      <w:r>
        <w:rPr>
          <w:noProof/>
        </w:rPr>
        <w:fldChar w:fldCharType="begin"/>
      </w:r>
      <w:r>
        <w:rPr>
          <w:noProof/>
        </w:rPr>
        <w:instrText xml:space="preserve"> PAGEREF _Toc148363694 \h </w:instrText>
      </w:r>
      <w:r>
        <w:rPr>
          <w:noProof/>
        </w:rPr>
      </w:r>
      <w:r>
        <w:rPr>
          <w:noProof/>
        </w:rPr>
        <w:fldChar w:fldCharType="separate"/>
      </w:r>
      <w:r>
        <w:rPr>
          <w:noProof/>
        </w:rPr>
        <w:t>12</w:t>
      </w:r>
      <w:r>
        <w:rPr>
          <w:noProof/>
        </w:rPr>
        <w:fldChar w:fldCharType="end"/>
      </w:r>
    </w:p>
    <w:p w14:paraId="44CC6D4E" w14:textId="74721FE7" w:rsidR="007E16A2" w:rsidRDefault="007E16A2">
      <w:pPr>
        <w:pStyle w:val="TDC1"/>
        <w:rPr>
          <w:rFonts w:asciiTheme="minorHAnsi" w:eastAsiaTheme="minorEastAsia" w:hAnsiTheme="minorHAnsi" w:cstheme="minorBidi"/>
          <w:color w:val="auto"/>
          <w:kern w:val="2"/>
          <w:sz w:val="22"/>
          <w:szCs w:val="22"/>
          <w14:ligatures w14:val="standardContextual"/>
        </w:rPr>
      </w:pPr>
      <w:r w:rsidRPr="004E2EF1">
        <w:rPr>
          <w:rFonts w:ascii="Arial" w:hAnsi="Arial"/>
          <w:color w:val="E2231A"/>
        </w:rPr>
        <w:t>3.</w:t>
      </w:r>
      <w:r>
        <w:t xml:space="preserve"> Análisis de competidores</w:t>
      </w:r>
      <w:r>
        <w:tab/>
      </w:r>
      <w:r>
        <w:fldChar w:fldCharType="begin"/>
      </w:r>
      <w:r>
        <w:instrText xml:space="preserve"> PAGEREF _Toc148363695 \h </w:instrText>
      </w:r>
      <w:r>
        <w:fldChar w:fldCharType="separate"/>
      </w:r>
      <w:r>
        <w:t>14</w:t>
      </w:r>
      <w:r>
        <w:fldChar w:fldCharType="end"/>
      </w:r>
    </w:p>
    <w:p w14:paraId="718A299E" w14:textId="2EB2C509" w:rsidR="007E16A2" w:rsidRDefault="007E16A2">
      <w:pPr>
        <w:pStyle w:val="TDC2"/>
        <w:rPr>
          <w:rFonts w:asciiTheme="minorHAnsi" w:eastAsiaTheme="minorEastAsia" w:hAnsiTheme="minorHAnsi"/>
          <w:noProof/>
          <w:color w:val="auto"/>
          <w:kern w:val="2"/>
          <w:sz w:val="22"/>
          <w:szCs w:val="22"/>
          <w:lang w:val="es-ES" w:eastAsia="es-ES"/>
          <w14:ligatures w14:val="standardContextual"/>
        </w:rPr>
      </w:pPr>
      <w:r w:rsidRPr="004E2EF1">
        <w:rPr>
          <w:caps/>
          <w:noProof/>
          <w:color w:val="E2231A"/>
        </w:rPr>
        <w:t>3.1.</w:t>
      </w:r>
      <w:r>
        <w:rPr>
          <w:noProof/>
        </w:rPr>
        <w:t xml:space="preserve"> Principales competidores</w:t>
      </w:r>
      <w:r>
        <w:rPr>
          <w:noProof/>
        </w:rPr>
        <w:tab/>
      </w:r>
      <w:r>
        <w:rPr>
          <w:noProof/>
        </w:rPr>
        <w:fldChar w:fldCharType="begin"/>
      </w:r>
      <w:r>
        <w:rPr>
          <w:noProof/>
        </w:rPr>
        <w:instrText xml:space="preserve"> PAGEREF _Toc148363696 \h </w:instrText>
      </w:r>
      <w:r>
        <w:rPr>
          <w:noProof/>
        </w:rPr>
      </w:r>
      <w:r>
        <w:rPr>
          <w:noProof/>
        </w:rPr>
        <w:fldChar w:fldCharType="separate"/>
      </w:r>
      <w:r>
        <w:rPr>
          <w:noProof/>
        </w:rPr>
        <w:t>14</w:t>
      </w:r>
      <w:r>
        <w:rPr>
          <w:noProof/>
        </w:rPr>
        <w:fldChar w:fldCharType="end"/>
      </w:r>
    </w:p>
    <w:p w14:paraId="5C6B7BE5" w14:textId="72DA88F4" w:rsidR="007E16A2" w:rsidRDefault="007E16A2">
      <w:pPr>
        <w:pStyle w:val="TDC1"/>
        <w:rPr>
          <w:rFonts w:asciiTheme="minorHAnsi" w:eastAsiaTheme="minorEastAsia" w:hAnsiTheme="minorHAnsi" w:cstheme="minorBidi"/>
          <w:color w:val="auto"/>
          <w:kern w:val="2"/>
          <w:sz w:val="22"/>
          <w:szCs w:val="22"/>
          <w14:ligatures w14:val="standardContextual"/>
        </w:rPr>
      </w:pPr>
      <w:r w:rsidRPr="004E2EF1">
        <w:rPr>
          <w:rFonts w:ascii="Arial" w:hAnsi="Arial"/>
          <w:color w:val="E2231A"/>
        </w:rPr>
        <w:t>4.</w:t>
      </w:r>
      <w:r>
        <w:t xml:space="preserve"> Oportunidades de negocio</w:t>
      </w:r>
      <w:r>
        <w:tab/>
      </w:r>
      <w:r>
        <w:fldChar w:fldCharType="begin"/>
      </w:r>
      <w:r>
        <w:instrText xml:space="preserve"> PAGEREF _Toc148363697 \h </w:instrText>
      </w:r>
      <w:r>
        <w:fldChar w:fldCharType="separate"/>
      </w:r>
      <w:r>
        <w:t>17</w:t>
      </w:r>
      <w:r>
        <w:fldChar w:fldCharType="end"/>
      </w:r>
    </w:p>
    <w:p w14:paraId="227CF6CE" w14:textId="1E2EEF9E" w:rsidR="007E16A2" w:rsidRDefault="007E16A2">
      <w:pPr>
        <w:pStyle w:val="TDC2"/>
        <w:rPr>
          <w:rFonts w:asciiTheme="minorHAnsi" w:eastAsiaTheme="minorEastAsia" w:hAnsiTheme="minorHAnsi"/>
          <w:noProof/>
          <w:color w:val="auto"/>
          <w:kern w:val="2"/>
          <w:sz w:val="22"/>
          <w:szCs w:val="22"/>
          <w:lang w:val="es-ES" w:eastAsia="es-ES"/>
          <w14:ligatures w14:val="standardContextual"/>
        </w:rPr>
      </w:pPr>
      <w:r w:rsidRPr="004E2EF1">
        <w:rPr>
          <w:caps/>
          <w:noProof/>
          <w:color w:val="E2231A"/>
        </w:rPr>
        <w:t>4.1.</w:t>
      </w:r>
      <w:r>
        <w:rPr>
          <w:noProof/>
        </w:rPr>
        <w:t xml:space="preserve"> Demanda, panorama y previsión de inversión en el sector hídrico</w:t>
      </w:r>
      <w:r>
        <w:rPr>
          <w:noProof/>
        </w:rPr>
        <w:tab/>
      </w:r>
      <w:r>
        <w:rPr>
          <w:noProof/>
        </w:rPr>
        <w:fldChar w:fldCharType="begin"/>
      </w:r>
      <w:r>
        <w:rPr>
          <w:noProof/>
        </w:rPr>
        <w:instrText xml:space="preserve"> PAGEREF _Toc148363698 \h </w:instrText>
      </w:r>
      <w:r>
        <w:rPr>
          <w:noProof/>
        </w:rPr>
      </w:r>
      <w:r>
        <w:rPr>
          <w:noProof/>
        </w:rPr>
        <w:fldChar w:fldCharType="separate"/>
      </w:r>
      <w:r>
        <w:rPr>
          <w:noProof/>
        </w:rPr>
        <w:t>17</w:t>
      </w:r>
      <w:r>
        <w:rPr>
          <w:noProof/>
        </w:rPr>
        <w:fldChar w:fldCharType="end"/>
      </w:r>
    </w:p>
    <w:p w14:paraId="2F1504EB" w14:textId="6FF0E1DA" w:rsidR="007E16A2" w:rsidRDefault="007E16A2">
      <w:pPr>
        <w:pStyle w:val="TDC2"/>
        <w:rPr>
          <w:rFonts w:asciiTheme="minorHAnsi" w:eastAsiaTheme="minorEastAsia" w:hAnsiTheme="minorHAnsi"/>
          <w:noProof/>
          <w:color w:val="auto"/>
          <w:kern w:val="2"/>
          <w:sz w:val="22"/>
          <w:szCs w:val="22"/>
          <w:lang w:val="es-ES" w:eastAsia="es-ES"/>
          <w14:ligatures w14:val="standardContextual"/>
        </w:rPr>
      </w:pPr>
      <w:r w:rsidRPr="004E2EF1">
        <w:rPr>
          <w:caps/>
          <w:noProof/>
          <w:color w:val="E2231A"/>
        </w:rPr>
        <w:t>4.2.</w:t>
      </w:r>
      <w:r>
        <w:rPr>
          <w:noProof/>
        </w:rPr>
        <w:t xml:space="preserve"> Principales áreas de oportunidad en la gestión de recursos hídricos</w:t>
      </w:r>
      <w:r>
        <w:rPr>
          <w:noProof/>
        </w:rPr>
        <w:tab/>
      </w:r>
      <w:r>
        <w:rPr>
          <w:noProof/>
        </w:rPr>
        <w:fldChar w:fldCharType="begin"/>
      </w:r>
      <w:r>
        <w:rPr>
          <w:noProof/>
        </w:rPr>
        <w:instrText xml:space="preserve"> PAGEREF _Toc148363699 \h </w:instrText>
      </w:r>
      <w:r>
        <w:rPr>
          <w:noProof/>
        </w:rPr>
      </w:r>
      <w:r>
        <w:rPr>
          <w:noProof/>
        </w:rPr>
        <w:fldChar w:fldCharType="separate"/>
      </w:r>
      <w:r>
        <w:rPr>
          <w:noProof/>
        </w:rPr>
        <w:t>18</w:t>
      </w:r>
      <w:r>
        <w:rPr>
          <w:noProof/>
        </w:rPr>
        <w:fldChar w:fldCharType="end"/>
      </w:r>
    </w:p>
    <w:p w14:paraId="546A7B2B" w14:textId="590E401E" w:rsidR="007E16A2" w:rsidRDefault="007E16A2">
      <w:pPr>
        <w:pStyle w:val="TDC3"/>
        <w:rPr>
          <w:rFonts w:asciiTheme="minorHAnsi" w:eastAsiaTheme="minorEastAsia" w:hAnsiTheme="minorHAnsi"/>
          <w:noProof/>
          <w:color w:val="auto"/>
          <w:kern w:val="2"/>
          <w:sz w:val="22"/>
          <w:szCs w:val="22"/>
          <w:lang w:val="es-ES" w:eastAsia="es-ES"/>
          <w14:ligatures w14:val="standardContextual"/>
        </w:rPr>
      </w:pPr>
      <w:r w:rsidRPr="004E2EF1">
        <w:rPr>
          <w:rFonts w:ascii="Arial" w:hAnsi="Arial"/>
          <w:noProof/>
          <w:color w:val="5E5E5E"/>
        </w:rPr>
        <w:t>4.2.1.</w:t>
      </w:r>
      <w:r>
        <w:rPr>
          <w:noProof/>
        </w:rPr>
        <w:t xml:space="preserve"> Redes de abastecimiento</w:t>
      </w:r>
      <w:r>
        <w:rPr>
          <w:noProof/>
        </w:rPr>
        <w:tab/>
      </w:r>
      <w:r>
        <w:rPr>
          <w:noProof/>
        </w:rPr>
        <w:fldChar w:fldCharType="begin"/>
      </w:r>
      <w:r>
        <w:rPr>
          <w:noProof/>
        </w:rPr>
        <w:instrText xml:space="preserve"> PAGEREF _Toc148363700 \h </w:instrText>
      </w:r>
      <w:r>
        <w:rPr>
          <w:noProof/>
        </w:rPr>
      </w:r>
      <w:r>
        <w:rPr>
          <w:noProof/>
        </w:rPr>
        <w:fldChar w:fldCharType="separate"/>
      </w:r>
      <w:r>
        <w:rPr>
          <w:noProof/>
        </w:rPr>
        <w:t>18</w:t>
      </w:r>
      <w:r>
        <w:rPr>
          <w:noProof/>
        </w:rPr>
        <w:fldChar w:fldCharType="end"/>
      </w:r>
    </w:p>
    <w:p w14:paraId="14040B9F" w14:textId="2D1B585E" w:rsidR="007E16A2" w:rsidRDefault="007E16A2">
      <w:pPr>
        <w:pStyle w:val="TDC3"/>
        <w:rPr>
          <w:rFonts w:asciiTheme="minorHAnsi" w:eastAsiaTheme="minorEastAsia" w:hAnsiTheme="minorHAnsi"/>
          <w:noProof/>
          <w:color w:val="auto"/>
          <w:kern w:val="2"/>
          <w:sz w:val="22"/>
          <w:szCs w:val="22"/>
          <w:lang w:val="es-ES" w:eastAsia="es-ES"/>
          <w14:ligatures w14:val="standardContextual"/>
        </w:rPr>
      </w:pPr>
      <w:r w:rsidRPr="004E2EF1">
        <w:rPr>
          <w:rFonts w:ascii="Arial" w:hAnsi="Arial"/>
          <w:noProof/>
          <w:color w:val="5E5E5E"/>
        </w:rPr>
        <w:t>4.2.2.</w:t>
      </w:r>
      <w:r>
        <w:rPr>
          <w:noProof/>
        </w:rPr>
        <w:t xml:space="preserve"> Tratamiento de aguas residuales</w:t>
      </w:r>
      <w:r>
        <w:rPr>
          <w:noProof/>
        </w:rPr>
        <w:tab/>
      </w:r>
      <w:r>
        <w:rPr>
          <w:noProof/>
        </w:rPr>
        <w:fldChar w:fldCharType="begin"/>
      </w:r>
      <w:r>
        <w:rPr>
          <w:noProof/>
        </w:rPr>
        <w:instrText xml:space="preserve"> PAGEREF _Toc148363701 \h </w:instrText>
      </w:r>
      <w:r>
        <w:rPr>
          <w:noProof/>
        </w:rPr>
      </w:r>
      <w:r>
        <w:rPr>
          <w:noProof/>
        </w:rPr>
        <w:fldChar w:fldCharType="separate"/>
      </w:r>
      <w:r>
        <w:rPr>
          <w:noProof/>
        </w:rPr>
        <w:t>19</w:t>
      </w:r>
      <w:r>
        <w:rPr>
          <w:noProof/>
        </w:rPr>
        <w:fldChar w:fldCharType="end"/>
      </w:r>
    </w:p>
    <w:p w14:paraId="7A3E94EC" w14:textId="430244ED" w:rsidR="007E16A2" w:rsidRDefault="007E16A2">
      <w:pPr>
        <w:pStyle w:val="TDC3"/>
        <w:rPr>
          <w:rFonts w:asciiTheme="minorHAnsi" w:eastAsiaTheme="minorEastAsia" w:hAnsiTheme="minorHAnsi"/>
          <w:noProof/>
          <w:color w:val="auto"/>
          <w:kern w:val="2"/>
          <w:sz w:val="22"/>
          <w:szCs w:val="22"/>
          <w:lang w:val="es-ES" w:eastAsia="es-ES"/>
          <w14:ligatures w14:val="standardContextual"/>
        </w:rPr>
      </w:pPr>
      <w:r w:rsidRPr="004E2EF1">
        <w:rPr>
          <w:rFonts w:ascii="Arial" w:hAnsi="Arial"/>
          <w:noProof/>
          <w:color w:val="5E5E5E"/>
        </w:rPr>
        <w:t>4.2.3.</w:t>
      </w:r>
      <w:r>
        <w:rPr>
          <w:noProof/>
        </w:rPr>
        <w:t xml:space="preserve"> Sistemas de irrigación</w:t>
      </w:r>
      <w:r>
        <w:rPr>
          <w:noProof/>
        </w:rPr>
        <w:tab/>
      </w:r>
      <w:r>
        <w:rPr>
          <w:noProof/>
        </w:rPr>
        <w:fldChar w:fldCharType="begin"/>
      </w:r>
      <w:r>
        <w:rPr>
          <w:noProof/>
        </w:rPr>
        <w:instrText xml:space="preserve"> PAGEREF _Toc148363702 \h </w:instrText>
      </w:r>
      <w:r>
        <w:rPr>
          <w:noProof/>
        </w:rPr>
      </w:r>
      <w:r>
        <w:rPr>
          <w:noProof/>
        </w:rPr>
        <w:fldChar w:fldCharType="separate"/>
      </w:r>
      <w:r>
        <w:rPr>
          <w:noProof/>
        </w:rPr>
        <w:t>21</w:t>
      </w:r>
      <w:r>
        <w:rPr>
          <w:noProof/>
        </w:rPr>
        <w:fldChar w:fldCharType="end"/>
      </w:r>
    </w:p>
    <w:p w14:paraId="4DE40A7C" w14:textId="2915C45F" w:rsidR="007E16A2" w:rsidRDefault="007E16A2">
      <w:pPr>
        <w:pStyle w:val="TDC3"/>
        <w:rPr>
          <w:rFonts w:asciiTheme="minorHAnsi" w:eastAsiaTheme="minorEastAsia" w:hAnsiTheme="minorHAnsi"/>
          <w:noProof/>
          <w:color w:val="auto"/>
          <w:kern w:val="2"/>
          <w:sz w:val="22"/>
          <w:szCs w:val="22"/>
          <w:lang w:val="es-ES" w:eastAsia="es-ES"/>
          <w14:ligatures w14:val="standardContextual"/>
        </w:rPr>
      </w:pPr>
      <w:r w:rsidRPr="004E2EF1">
        <w:rPr>
          <w:rFonts w:ascii="Arial" w:hAnsi="Arial"/>
          <w:noProof/>
          <w:color w:val="5E5E5E"/>
        </w:rPr>
        <w:t>4.2.4.</w:t>
      </w:r>
      <w:r>
        <w:rPr>
          <w:noProof/>
        </w:rPr>
        <w:t xml:space="preserve"> Prevención de inundaciones</w:t>
      </w:r>
      <w:r>
        <w:rPr>
          <w:noProof/>
        </w:rPr>
        <w:tab/>
      </w:r>
      <w:r>
        <w:rPr>
          <w:noProof/>
        </w:rPr>
        <w:fldChar w:fldCharType="begin"/>
      </w:r>
      <w:r>
        <w:rPr>
          <w:noProof/>
        </w:rPr>
        <w:instrText xml:space="preserve"> PAGEREF _Toc148363703 \h </w:instrText>
      </w:r>
      <w:r>
        <w:rPr>
          <w:noProof/>
        </w:rPr>
      </w:r>
      <w:r>
        <w:rPr>
          <w:noProof/>
        </w:rPr>
        <w:fldChar w:fldCharType="separate"/>
      </w:r>
      <w:r>
        <w:rPr>
          <w:noProof/>
        </w:rPr>
        <w:t>22</w:t>
      </w:r>
      <w:r>
        <w:rPr>
          <w:noProof/>
        </w:rPr>
        <w:fldChar w:fldCharType="end"/>
      </w:r>
    </w:p>
    <w:p w14:paraId="40730E7D" w14:textId="08F7C4CE" w:rsidR="007E16A2" w:rsidRDefault="007E16A2">
      <w:pPr>
        <w:pStyle w:val="TDC3"/>
        <w:rPr>
          <w:rFonts w:asciiTheme="minorHAnsi" w:eastAsiaTheme="minorEastAsia" w:hAnsiTheme="minorHAnsi"/>
          <w:noProof/>
          <w:color w:val="auto"/>
          <w:kern w:val="2"/>
          <w:sz w:val="22"/>
          <w:szCs w:val="22"/>
          <w:lang w:val="es-ES" w:eastAsia="es-ES"/>
          <w14:ligatures w14:val="standardContextual"/>
        </w:rPr>
      </w:pPr>
      <w:r w:rsidRPr="004E2EF1">
        <w:rPr>
          <w:rFonts w:ascii="Arial" w:hAnsi="Arial"/>
          <w:noProof/>
          <w:color w:val="5E5E5E"/>
        </w:rPr>
        <w:t>4.2.5.</w:t>
      </w:r>
      <w:r>
        <w:rPr>
          <w:noProof/>
        </w:rPr>
        <w:t xml:space="preserve"> Desalinización</w:t>
      </w:r>
      <w:r>
        <w:rPr>
          <w:noProof/>
        </w:rPr>
        <w:tab/>
      </w:r>
      <w:r>
        <w:rPr>
          <w:noProof/>
        </w:rPr>
        <w:fldChar w:fldCharType="begin"/>
      </w:r>
      <w:r>
        <w:rPr>
          <w:noProof/>
        </w:rPr>
        <w:instrText xml:space="preserve"> PAGEREF _Toc148363704 \h </w:instrText>
      </w:r>
      <w:r>
        <w:rPr>
          <w:noProof/>
        </w:rPr>
      </w:r>
      <w:r>
        <w:rPr>
          <w:noProof/>
        </w:rPr>
        <w:fldChar w:fldCharType="separate"/>
      </w:r>
      <w:r>
        <w:rPr>
          <w:noProof/>
        </w:rPr>
        <w:t>23</w:t>
      </w:r>
      <w:r>
        <w:rPr>
          <w:noProof/>
        </w:rPr>
        <w:fldChar w:fldCharType="end"/>
      </w:r>
    </w:p>
    <w:p w14:paraId="18FFAA47" w14:textId="4A40F6F6" w:rsidR="007E16A2" w:rsidRDefault="007E16A2">
      <w:pPr>
        <w:pStyle w:val="TDC2"/>
        <w:rPr>
          <w:rFonts w:asciiTheme="minorHAnsi" w:eastAsiaTheme="minorEastAsia" w:hAnsiTheme="minorHAnsi"/>
          <w:noProof/>
          <w:color w:val="auto"/>
          <w:kern w:val="2"/>
          <w:sz w:val="22"/>
          <w:szCs w:val="22"/>
          <w:lang w:val="es-ES" w:eastAsia="es-ES"/>
          <w14:ligatures w14:val="standardContextual"/>
        </w:rPr>
      </w:pPr>
      <w:r w:rsidRPr="004E2EF1">
        <w:rPr>
          <w:caps/>
          <w:noProof/>
          <w:color w:val="E2231A"/>
        </w:rPr>
        <w:t>4.3.</w:t>
      </w:r>
      <w:r>
        <w:rPr>
          <w:noProof/>
        </w:rPr>
        <w:t xml:space="preserve"> Financiación de proyectos hídricos</w:t>
      </w:r>
      <w:r>
        <w:rPr>
          <w:noProof/>
        </w:rPr>
        <w:tab/>
      </w:r>
      <w:r>
        <w:rPr>
          <w:noProof/>
        </w:rPr>
        <w:fldChar w:fldCharType="begin"/>
      </w:r>
      <w:r>
        <w:rPr>
          <w:noProof/>
        </w:rPr>
        <w:instrText xml:space="preserve"> PAGEREF _Toc148363705 \h </w:instrText>
      </w:r>
      <w:r>
        <w:rPr>
          <w:noProof/>
        </w:rPr>
      </w:r>
      <w:r>
        <w:rPr>
          <w:noProof/>
        </w:rPr>
        <w:fldChar w:fldCharType="separate"/>
      </w:r>
      <w:r>
        <w:rPr>
          <w:noProof/>
        </w:rPr>
        <w:t>23</w:t>
      </w:r>
      <w:r>
        <w:rPr>
          <w:noProof/>
        </w:rPr>
        <w:fldChar w:fldCharType="end"/>
      </w:r>
    </w:p>
    <w:p w14:paraId="2334299B" w14:textId="1ADA01DA" w:rsidR="007E16A2" w:rsidRDefault="007E16A2">
      <w:pPr>
        <w:pStyle w:val="TDC2"/>
        <w:rPr>
          <w:rFonts w:asciiTheme="minorHAnsi" w:eastAsiaTheme="minorEastAsia" w:hAnsiTheme="minorHAnsi"/>
          <w:noProof/>
          <w:color w:val="auto"/>
          <w:kern w:val="2"/>
          <w:sz w:val="22"/>
          <w:szCs w:val="22"/>
          <w:lang w:val="es-ES" w:eastAsia="es-ES"/>
          <w14:ligatures w14:val="standardContextual"/>
        </w:rPr>
      </w:pPr>
      <w:r w:rsidRPr="004E2EF1">
        <w:rPr>
          <w:caps/>
          <w:noProof/>
          <w:color w:val="E2231A"/>
        </w:rPr>
        <w:t>4.4.</w:t>
      </w:r>
      <w:r>
        <w:rPr>
          <w:noProof/>
        </w:rPr>
        <w:t xml:space="preserve"> Listado de los principales proyectos</w:t>
      </w:r>
      <w:r>
        <w:rPr>
          <w:noProof/>
        </w:rPr>
        <w:tab/>
      </w:r>
      <w:r>
        <w:rPr>
          <w:noProof/>
        </w:rPr>
        <w:fldChar w:fldCharType="begin"/>
      </w:r>
      <w:r>
        <w:rPr>
          <w:noProof/>
        </w:rPr>
        <w:instrText xml:space="preserve"> PAGEREF _Toc148363706 \h </w:instrText>
      </w:r>
      <w:r>
        <w:rPr>
          <w:noProof/>
        </w:rPr>
      </w:r>
      <w:r>
        <w:rPr>
          <w:noProof/>
        </w:rPr>
        <w:fldChar w:fldCharType="separate"/>
      </w:r>
      <w:r>
        <w:rPr>
          <w:noProof/>
        </w:rPr>
        <w:t>27</w:t>
      </w:r>
      <w:r>
        <w:rPr>
          <w:noProof/>
        </w:rPr>
        <w:fldChar w:fldCharType="end"/>
      </w:r>
    </w:p>
    <w:p w14:paraId="232CE18C" w14:textId="35BA28AE" w:rsidR="007E16A2" w:rsidRDefault="007E16A2">
      <w:pPr>
        <w:pStyle w:val="TDC1"/>
        <w:rPr>
          <w:rFonts w:asciiTheme="minorHAnsi" w:eastAsiaTheme="minorEastAsia" w:hAnsiTheme="minorHAnsi" w:cstheme="minorBidi"/>
          <w:color w:val="auto"/>
          <w:kern w:val="2"/>
          <w:sz w:val="22"/>
          <w:szCs w:val="22"/>
          <w14:ligatures w14:val="standardContextual"/>
        </w:rPr>
      </w:pPr>
      <w:r w:rsidRPr="004E2EF1">
        <w:rPr>
          <w:rFonts w:ascii="Arial" w:hAnsi="Arial"/>
          <w:color w:val="E2231A"/>
        </w:rPr>
        <w:t>5.</w:t>
      </w:r>
      <w:r>
        <w:t xml:space="preserve"> Percepción del producto español</w:t>
      </w:r>
      <w:r>
        <w:tab/>
      </w:r>
      <w:r>
        <w:fldChar w:fldCharType="begin"/>
      </w:r>
      <w:r>
        <w:instrText xml:space="preserve"> PAGEREF _Toc148363707 \h </w:instrText>
      </w:r>
      <w:r>
        <w:fldChar w:fldCharType="separate"/>
      </w:r>
      <w:r>
        <w:t>30</w:t>
      </w:r>
      <w:r>
        <w:fldChar w:fldCharType="end"/>
      </w:r>
    </w:p>
    <w:p w14:paraId="0BD58138" w14:textId="03EBA3F5" w:rsidR="007E16A2" w:rsidRDefault="007E16A2">
      <w:pPr>
        <w:pStyle w:val="TDC1"/>
        <w:rPr>
          <w:rFonts w:asciiTheme="minorHAnsi" w:eastAsiaTheme="minorEastAsia" w:hAnsiTheme="minorHAnsi" w:cstheme="minorBidi"/>
          <w:color w:val="auto"/>
          <w:kern w:val="2"/>
          <w:sz w:val="22"/>
          <w:szCs w:val="22"/>
          <w14:ligatures w14:val="standardContextual"/>
        </w:rPr>
      </w:pPr>
      <w:r w:rsidRPr="004E2EF1">
        <w:rPr>
          <w:rFonts w:ascii="Arial" w:hAnsi="Arial"/>
          <w:color w:val="E2231A"/>
        </w:rPr>
        <w:t>6.</w:t>
      </w:r>
      <w:r>
        <w:t xml:space="preserve"> Acceso al mercado – Barreras</w:t>
      </w:r>
      <w:r>
        <w:tab/>
      </w:r>
      <w:r>
        <w:fldChar w:fldCharType="begin"/>
      </w:r>
      <w:r>
        <w:instrText xml:space="preserve"> PAGEREF _Toc148363708 \h </w:instrText>
      </w:r>
      <w:r>
        <w:fldChar w:fldCharType="separate"/>
      </w:r>
      <w:r>
        <w:t>31</w:t>
      </w:r>
      <w:r>
        <w:fldChar w:fldCharType="end"/>
      </w:r>
    </w:p>
    <w:p w14:paraId="18CAEE27" w14:textId="3303E1ED" w:rsidR="007E16A2" w:rsidRDefault="007E16A2">
      <w:pPr>
        <w:pStyle w:val="TDC1"/>
        <w:rPr>
          <w:rFonts w:asciiTheme="minorHAnsi" w:eastAsiaTheme="minorEastAsia" w:hAnsiTheme="minorHAnsi" w:cstheme="minorBidi"/>
          <w:color w:val="auto"/>
          <w:kern w:val="2"/>
          <w:sz w:val="22"/>
          <w:szCs w:val="22"/>
          <w14:ligatures w14:val="standardContextual"/>
        </w:rPr>
      </w:pPr>
      <w:r w:rsidRPr="004E2EF1">
        <w:rPr>
          <w:rFonts w:ascii="Arial" w:hAnsi="Arial"/>
          <w:color w:val="E2231A"/>
          <w:lang w:eastAsia="es-ES_tradnl"/>
        </w:rPr>
        <w:t>7.</w:t>
      </w:r>
      <w:r>
        <w:rPr>
          <w:lang w:eastAsia="es-ES_tradnl"/>
        </w:rPr>
        <w:t xml:space="preserve"> Información práctica</w:t>
      </w:r>
      <w:r>
        <w:tab/>
      </w:r>
      <w:r>
        <w:fldChar w:fldCharType="begin"/>
      </w:r>
      <w:r>
        <w:instrText xml:space="preserve"> PAGEREF _Toc148363709 \h </w:instrText>
      </w:r>
      <w:r>
        <w:fldChar w:fldCharType="separate"/>
      </w:r>
      <w:r>
        <w:t>34</w:t>
      </w:r>
      <w:r>
        <w:fldChar w:fldCharType="end"/>
      </w:r>
    </w:p>
    <w:p w14:paraId="201B404F" w14:textId="3C1F1979" w:rsidR="00C56803" w:rsidRPr="00616F74" w:rsidRDefault="00850AE5" w:rsidP="00792851">
      <w:pPr>
        <w:pStyle w:val="Ttulo1"/>
        <w:ind w:left="0"/>
      </w:pPr>
      <w:r>
        <w:lastRenderedPageBreak/>
        <w:fldChar w:fldCharType="end"/>
      </w:r>
      <w:bookmarkStart w:id="2" w:name="_Toc148363690"/>
      <w:r w:rsidR="00C56803" w:rsidRPr="00616F74">
        <w:t>Resumen ejecutivo</w:t>
      </w:r>
      <w:bookmarkEnd w:id="0"/>
      <w:bookmarkEnd w:id="1"/>
      <w:bookmarkEnd w:id="2"/>
    </w:p>
    <w:p w14:paraId="2412819C" w14:textId="77777777" w:rsidR="00F714BC" w:rsidRDefault="000E50C6" w:rsidP="00AF2769">
      <w:r w:rsidRPr="000E50C6">
        <w:t>E</w:t>
      </w:r>
      <w:r>
        <w:t>ste</w:t>
      </w:r>
      <w:r w:rsidRPr="000E50C6">
        <w:t xml:space="preserve"> estudio ofrece una visión introductoria del sector hídrico croata, enfocada especialmente en </w:t>
      </w:r>
      <w:r>
        <w:t>dar una idea general del sector</w:t>
      </w:r>
      <w:r w:rsidRPr="000E50C6">
        <w:t xml:space="preserve"> a</w:t>
      </w:r>
      <w:r>
        <w:t xml:space="preserve"> posibles</w:t>
      </w:r>
      <w:r w:rsidRPr="000E50C6">
        <w:t xml:space="preserve"> inversores y empresas españolas. Aborda temas como la </w:t>
      </w:r>
      <w:r w:rsidRPr="00F714BC">
        <w:rPr>
          <w:b/>
          <w:bCs/>
        </w:rPr>
        <w:t>organización del mercado</w:t>
      </w:r>
      <w:r w:rsidRPr="000E50C6">
        <w:t xml:space="preserve"> del agua, </w:t>
      </w:r>
      <w:r w:rsidRPr="00FB2258">
        <w:rPr>
          <w:b/>
          <w:bCs/>
        </w:rPr>
        <w:t>fuentes de financiación</w:t>
      </w:r>
      <w:r w:rsidRPr="000E50C6">
        <w:t xml:space="preserve"> para </w:t>
      </w:r>
      <w:r w:rsidRPr="00FB2258">
        <w:rPr>
          <w:b/>
          <w:bCs/>
        </w:rPr>
        <w:t>proyectos de infraestructura</w:t>
      </w:r>
      <w:r w:rsidRPr="000E50C6">
        <w:t xml:space="preserve"> y </w:t>
      </w:r>
      <w:r w:rsidR="00F714BC">
        <w:t>una mirada a los</w:t>
      </w:r>
      <w:r w:rsidRPr="000E50C6">
        <w:t xml:space="preserve"> </w:t>
      </w:r>
      <w:r w:rsidRPr="00F714BC">
        <w:rPr>
          <w:b/>
          <w:bCs/>
        </w:rPr>
        <w:t>competidores existentes</w:t>
      </w:r>
      <w:r w:rsidRPr="000E50C6">
        <w:t xml:space="preserve">, incluida la </w:t>
      </w:r>
      <w:r w:rsidRPr="00F714BC">
        <w:rPr>
          <w:b/>
          <w:bCs/>
        </w:rPr>
        <w:t>presencia española</w:t>
      </w:r>
      <w:r w:rsidRPr="000E50C6">
        <w:t>.</w:t>
      </w:r>
    </w:p>
    <w:p w14:paraId="6CB5B371" w14:textId="2366C3E0" w:rsidR="000E50C6" w:rsidRPr="00F714BC" w:rsidRDefault="000E50C6" w:rsidP="000E50C6">
      <w:pPr>
        <w:rPr>
          <w:color w:val="auto"/>
          <w:lang w:eastAsia="es-ES_tradnl"/>
        </w:rPr>
      </w:pPr>
      <w:r w:rsidRPr="000E50C6">
        <w:t xml:space="preserve">Croacia se destaca por su abundancia de recursos hídricos, contando con aproximadamente </w:t>
      </w:r>
      <w:r w:rsidRPr="00FB2258">
        <w:rPr>
          <w:b/>
          <w:bCs/>
        </w:rPr>
        <w:t>29,200 m³ de agua dulce per cápita al año</w:t>
      </w:r>
      <w:r w:rsidRPr="000E50C6">
        <w:t xml:space="preserve">, una cifra significativamente alta en comparación con la mayoría de los países y muy por encima del umbral de "estrés hídrico" definido por </w:t>
      </w:r>
      <w:r w:rsidR="00A06624">
        <w:t xml:space="preserve">la ONU. </w:t>
      </w:r>
      <w:r>
        <w:t xml:space="preserve">El territorio se divide principalmente en </w:t>
      </w:r>
      <w:r w:rsidRPr="00F714BC">
        <w:rPr>
          <w:b/>
          <w:bCs/>
        </w:rPr>
        <w:t>dos cuencas fluviales</w:t>
      </w:r>
      <w:r>
        <w:t xml:space="preserve">: la del </w:t>
      </w:r>
      <w:r w:rsidRPr="00FB2258">
        <w:rPr>
          <w:b/>
          <w:bCs/>
        </w:rPr>
        <w:t xml:space="preserve">Danubio </w:t>
      </w:r>
      <w:r w:rsidRPr="00F714BC">
        <w:t xml:space="preserve">y la del </w:t>
      </w:r>
      <w:r w:rsidRPr="00FB2258">
        <w:rPr>
          <w:b/>
          <w:bCs/>
        </w:rPr>
        <w:t>Adriático</w:t>
      </w:r>
      <w:r>
        <w:t xml:space="preserve">. La primera drena más del </w:t>
      </w:r>
      <w:r w:rsidRPr="00294341">
        <w:t>66</w:t>
      </w:r>
      <w:r w:rsidR="00294341">
        <w:t xml:space="preserve"> </w:t>
      </w:r>
      <w:r w:rsidRPr="00294341">
        <w:t>%</w:t>
      </w:r>
      <w:r>
        <w:t xml:space="preserve"> de la Croacia continental y es donde reside cerca del </w:t>
      </w:r>
      <w:r w:rsidRPr="00294341">
        <w:t>68</w:t>
      </w:r>
      <w:r w:rsidR="00294341">
        <w:t xml:space="preserve"> </w:t>
      </w:r>
      <w:r w:rsidRPr="00294341">
        <w:t>%</w:t>
      </w:r>
      <w:r>
        <w:t xml:space="preserve"> de la población del país. En cuanto a las fuentes de agua potable, el </w:t>
      </w:r>
      <w:r w:rsidRPr="00294341">
        <w:t>80,5</w:t>
      </w:r>
      <w:r w:rsidR="00294341">
        <w:t xml:space="preserve"> </w:t>
      </w:r>
      <w:r w:rsidRPr="00294341">
        <w:t>%</w:t>
      </w:r>
      <w:r>
        <w:t xml:space="preserve"> proviene de fuentes subterráneas y el </w:t>
      </w:r>
      <w:r w:rsidRPr="00294341">
        <w:t>9,6</w:t>
      </w:r>
      <w:r w:rsidR="00294341">
        <w:t xml:space="preserve"> </w:t>
      </w:r>
      <w:r w:rsidRPr="00294341">
        <w:t>%</w:t>
      </w:r>
      <w:r>
        <w:t xml:space="preserve"> de aguas superficiales. Además del Danubio, Croacia tiene otros ríos importantes como el Sava y el Drava. El país también cuenta con lagos artificiales, creados principalmente para la generación hidroeléctrica.</w:t>
      </w:r>
      <w:r w:rsidR="00FB2258">
        <w:t xml:space="preserve"> </w:t>
      </w:r>
      <w:r>
        <w:t>En el mar Adriático, Croacia posee un archipiélago con más de mil formaciones naturales, incluyendo islas habitadas y deshabitadas. Estas islas tienen diversas estrategias de abastecimiento</w:t>
      </w:r>
      <w:r w:rsidR="00DA1CCB">
        <w:t xml:space="preserve"> de agua</w:t>
      </w:r>
      <w:r>
        <w:t>, algunas de las cuales incluyen conexiones con el continente.</w:t>
      </w:r>
    </w:p>
    <w:p w14:paraId="06531905" w14:textId="0551AF82" w:rsidR="000E50C6" w:rsidRDefault="000E50C6" w:rsidP="000E50C6">
      <w:r>
        <w:t xml:space="preserve">Sin embargo, a pesar de </w:t>
      </w:r>
      <w:r w:rsidR="00FB2258">
        <w:t xml:space="preserve">su abundancia y de </w:t>
      </w:r>
      <w:r>
        <w:t xml:space="preserve">contar con un sistema de gestión de aguas generalmente eficiente, </w:t>
      </w:r>
      <w:r w:rsidRPr="00FB2258">
        <w:rPr>
          <w:b/>
          <w:bCs/>
        </w:rPr>
        <w:t>la infraestructura hídrica del país a menudo es obsoleta</w:t>
      </w:r>
      <w:r>
        <w:t xml:space="preserve"> y ha requerido inversiones significativas para su modernización, especialmente desde la entrada de Croacia en la Unión Europea en 2013. </w:t>
      </w:r>
      <w:r w:rsidR="007577D0">
        <w:t>Adicionalmente</w:t>
      </w:r>
      <w:r>
        <w:t xml:space="preserve">, </w:t>
      </w:r>
      <w:r w:rsidR="007577D0">
        <w:t xml:space="preserve">cabe señalar que </w:t>
      </w:r>
      <w:r w:rsidRPr="00FB2258">
        <w:rPr>
          <w:b/>
          <w:bCs/>
        </w:rPr>
        <w:t xml:space="preserve">la gestión de los recursos hídricos </w:t>
      </w:r>
      <w:r w:rsidRPr="00D1585E">
        <w:t xml:space="preserve">en Croacia es </w:t>
      </w:r>
      <w:r w:rsidRPr="00FB2258">
        <w:rPr>
          <w:b/>
          <w:bCs/>
        </w:rPr>
        <w:t>compleja</w:t>
      </w:r>
      <w:r>
        <w:t xml:space="preserve"> debido a las conexiones subterráneas y flujos de agua compartidos con países vecinos.</w:t>
      </w:r>
    </w:p>
    <w:p w14:paraId="04A5A334" w14:textId="69622D37" w:rsidR="007577D0" w:rsidRDefault="007577D0" w:rsidP="007577D0">
      <w:r>
        <w:t xml:space="preserve">El sector del agua en Croacia está regulado a nivel estatal y operado principalmente por la empresa estatal </w:t>
      </w:r>
      <w:r w:rsidRPr="00FB2258">
        <w:rPr>
          <w:b/>
          <w:bCs/>
        </w:rPr>
        <w:t>Hrvatske Vode</w:t>
      </w:r>
      <w:r>
        <w:t xml:space="preserve">. El </w:t>
      </w:r>
      <w:r w:rsidRPr="00142890">
        <w:rPr>
          <w:b/>
          <w:bCs/>
        </w:rPr>
        <w:t>marco jurídico</w:t>
      </w:r>
      <w:r>
        <w:t xml:space="preserve"> se basa en la Constitución del país, la </w:t>
      </w:r>
      <w:r w:rsidRPr="00FB2258">
        <w:rPr>
          <w:b/>
          <w:bCs/>
        </w:rPr>
        <w:t>Ley del Agua</w:t>
      </w:r>
      <w:r>
        <w:t xml:space="preserve"> y la </w:t>
      </w:r>
      <w:r w:rsidRPr="00FB2258">
        <w:rPr>
          <w:b/>
          <w:bCs/>
        </w:rPr>
        <w:t>Ley de Financiación de la Gestión del Agua</w:t>
      </w:r>
      <w:r>
        <w:t>, subrayando la importancia del recurso hídrico para el país. El Parlamento y el Gobierno son los principales entes reguladores, mientras que Hrvatske Vode se encarga de la gestión práctica, desde la emisión de licitaciones hasta la implementación de proyectos, en línea con las directrices nacionales y de la UE.</w:t>
      </w:r>
      <w:r w:rsidR="00FB2258">
        <w:t xml:space="preserve"> </w:t>
      </w:r>
      <w:r w:rsidR="00AA35F3">
        <w:t xml:space="preserve">Los principales actores estatales en el sector incluyen el </w:t>
      </w:r>
      <w:r w:rsidR="00AA35F3" w:rsidRPr="00FB2258">
        <w:rPr>
          <w:b/>
          <w:bCs/>
        </w:rPr>
        <w:t>Consejo Regulador de Agua</w:t>
      </w:r>
      <w:r w:rsidR="00AA35F3" w:rsidRPr="00F714BC">
        <w:t xml:space="preserve">, el </w:t>
      </w:r>
      <w:r w:rsidR="00AA35F3" w:rsidRPr="00FB2258">
        <w:rPr>
          <w:b/>
          <w:bCs/>
        </w:rPr>
        <w:t>Consejo Nacional de Agua</w:t>
      </w:r>
      <w:r w:rsidR="00AA35F3" w:rsidRPr="00F714BC">
        <w:t>, y el</w:t>
      </w:r>
      <w:r w:rsidR="00AA35F3" w:rsidRPr="00FB2258">
        <w:rPr>
          <w:b/>
          <w:bCs/>
        </w:rPr>
        <w:t xml:space="preserve"> Ministerio de Economía y Desarrollo Sostenible</w:t>
      </w:r>
      <w:r w:rsidR="00AA35F3">
        <w:t>.</w:t>
      </w:r>
      <w:r w:rsidR="00AA35F3" w:rsidRPr="00AA35F3">
        <w:t xml:space="preserve"> </w:t>
      </w:r>
      <w:r w:rsidR="00AA35F3">
        <w:t xml:space="preserve">Además, la </w:t>
      </w:r>
      <w:r w:rsidR="00AA35F3" w:rsidRPr="00FB2258">
        <w:rPr>
          <w:b/>
          <w:bCs/>
        </w:rPr>
        <w:t>Asociación Nacional de Abastecimiento de Aguas y Alcantarillado (HGVIK)</w:t>
      </w:r>
      <w:r w:rsidR="00AA35F3">
        <w:t xml:space="preserve"> juega un papel en la formación y sensibilización pública sobre la importancia del agua y su impacto medioambiental. </w:t>
      </w:r>
      <w:r>
        <w:t>A nivel local, hay aproximadamente 155 empresas municipales centradas en el suministro de agua y tratamiento de aguas residuales, y existe un esfuerzo por consolidar estas compañías para mejorar la eficiencia.</w:t>
      </w:r>
    </w:p>
    <w:p w14:paraId="39D9467A" w14:textId="0D33FB15" w:rsidR="007577D0" w:rsidRDefault="007577D0" w:rsidP="007577D0">
      <w:r>
        <w:lastRenderedPageBreak/>
        <w:t>En el ámbito de la UE, Croacia sigue directrices como la Directiva 2000/60/CE, que establece un marco de acción para la política de aguas.</w:t>
      </w:r>
      <w:r w:rsidR="00FB2258">
        <w:t xml:space="preserve"> </w:t>
      </w:r>
      <w:r>
        <w:t>Además, Croacia tiene acuerdos bilaterales con países vecinos como Hungría, Eslovenia y Bosnia y Herzegovina para la gestión de aguas fronterizas y transfronterizas, así como para la protección contra la contaminación.</w:t>
      </w:r>
    </w:p>
    <w:p w14:paraId="05453CD6" w14:textId="35811194" w:rsidR="007577D0" w:rsidRDefault="00AA35F3" w:rsidP="007577D0">
      <w:r>
        <w:t xml:space="preserve">En cuanto al </w:t>
      </w:r>
      <w:r w:rsidRPr="00F714BC">
        <w:rPr>
          <w:b/>
          <w:bCs/>
        </w:rPr>
        <w:t>abastecimiento de agua</w:t>
      </w:r>
      <w:r>
        <w:t xml:space="preserve">, Croacia ha mostrado un compromiso constante con la mejora de su infraestructura hídrica. Aunque se han logrado avances, el país enfrenta desafíos como </w:t>
      </w:r>
      <w:r w:rsidRPr="0081622C">
        <w:rPr>
          <w:b/>
          <w:bCs/>
        </w:rPr>
        <w:t>pérdidas significativas de agua</w:t>
      </w:r>
      <w:r>
        <w:t xml:space="preserve"> y </w:t>
      </w:r>
      <w:r w:rsidRPr="0081622C">
        <w:rPr>
          <w:b/>
          <w:bCs/>
        </w:rPr>
        <w:t>sistemas de distribución envejecidos</w:t>
      </w:r>
      <w:r>
        <w:t xml:space="preserve">. Además, Croacia enfrenta desafíos en la gestión del agua, especialmente en áreas costeras e islas. Aunque el </w:t>
      </w:r>
      <w:r w:rsidRPr="0081622C">
        <w:rPr>
          <w:b/>
          <w:bCs/>
        </w:rPr>
        <w:t>acceso a agua potable</w:t>
      </w:r>
      <w:r>
        <w:t xml:space="preserve"> es casi universal en áreas urbanas, en zonas rurales solo el 70% de la población tiene acceso a agua segura</w:t>
      </w:r>
      <w:r w:rsidR="0081622C">
        <w:t xml:space="preserve">. </w:t>
      </w:r>
      <w:r>
        <w:t>Este contexto ofrece un terreno fértil para la modernización de la infraestructura y la expansión de la red a áreas rurales. Empresas especializadas en tecnologías de detección de fugas, renovación de tuberías y sistemas de monitoreo de calidad del agua podrían encontrar aquí un mercado en crecimiento.</w:t>
      </w:r>
    </w:p>
    <w:p w14:paraId="231F2EF3" w14:textId="2135F93D" w:rsidR="0023259D" w:rsidRDefault="0023259D" w:rsidP="0023259D">
      <w:r>
        <w:t xml:space="preserve">En lo que respecta al </w:t>
      </w:r>
      <w:r w:rsidRPr="0081622C">
        <w:rPr>
          <w:b/>
          <w:bCs/>
        </w:rPr>
        <w:t>tratamiento de aguas residuales</w:t>
      </w:r>
      <w:r>
        <w:t xml:space="preserve">, el país ha registrado un aumento en la cantidad de agua tratada y en el número de plantas de tratamiento. Sin embargo, la infraestructura actual está </w:t>
      </w:r>
      <w:r w:rsidRPr="0081622C">
        <w:rPr>
          <w:b/>
          <w:bCs/>
        </w:rPr>
        <w:t>lejos de ser suficiente para cumplir con las normativas europeas</w:t>
      </w:r>
      <w:r>
        <w:t>, lo que presenta una oportunidad para las empresas que ofrecen soluciones avanzadas en este ámbito.</w:t>
      </w:r>
    </w:p>
    <w:p w14:paraId="353B512F" w14:textId="64AC69F1" w:rsidR="0023259D" w:rsidRDefault="008A74F9" w:rsidP="0023259D">
      <w:r>
        <w:t xml:space="preserve">En lo que respecta a la </w:t>
      </w:r>
      <w:r w:rsidRPr="0081622C">
        <w:rPr>
          <w:b/>
          <w:bCs/>
        </w:rPr>
        <w:t>irrigación</w:t>
      </w:r>
      <w:r w:rsidR="0023259D">
        <w:t xml:space="preserve">, Croacia todavía tiene un largo camino por recorrer para alcanzar el promedio de la Unión Europea en cuanto a tierras irrigadas. La </w:t>
      </w:r>
      <w:r w:rsidR="0023259D" w:rsidRPr="0081622C">
        <w:rPr>
          <w:b/>
          <w:bCs/>
        </w:rPr>
        <w:t xml:space="preserve">falta de sistemas de irrigación eficientes y modernos </w:t>
      </w:r>
      <w:r w:rsidR="0023259D">
        <w:t>en el país abre una ventana de oportunidad para empresas que puedan proporcionar tales soluciones</w:t>
      </w:r>
      <w:r w:rsidR="0081622C">
        <w:t>.</w:t>
      </w:r>
    </w:p>
    <w:p w14:paraId="74CB6EFF" w14:textId="77777777" w:rsidR="00E51B2A" w:rsidRDefault="0023259D" w:rsidP="0023259D">
      <w:r>
        <w:t xml:space="preserve">En cuanto a la </w:t>
      </w:r>
      <w:r w:rsidRPr="0081622C">
        <w:rPr>
          <w:b/>
          <w:bCs/>
        </w:rPr>
        <w:t>prevención de inundaciones</w:t>
      </w:r>
      <w:r>
        <w:t xml:space="preserve">, Croacia sufre regularmente de inundaciones que tienen un alto costo económico. </w:t>
      </w:r>
      <w:r w:rsidR="008A74F9">
        <w:t xml:space="preserve">En concreto, los impactos económicos de eventos climáticos extremos, como inundaciones, que han costado al país más de 298 millones de euros desde 2010. </w:t>
      </w:r>
      <w:r>
        <w:t>Este escenario crea una necesidad de tecnologías y soluciones avanzadas en la gestión de inundaciones.</w:t>
      </w:r>
      <w:r w:rsidR="00DA1CCB">
        <w:t xml:space="preserve"> </w:t>
      </w:r>
    </w:p>
    <w:p w14:paraId="59F652A0" w14:textId="0F02AD9F" w:rsidR="0023259D" w:rsidRDefault="0081622C" w:rsidP="0023259D">
      <w:r>
        <w:t>Adicionalmente, en</w:t>
      </w:r>
      <w:r w:rsidR="0023259D">
        <w:t xml:space="preserve"> </w:t>
      </w:r>
      <w:r w:rsidR="008A74F9">
        <w:t>lo referente a</w:t>
      </w:r>
      <w:r w:rsidR="0023259D">
        <w:t xml:space="preserve"> sector de</w:t>
      </w:r>
      <w:r w:rsidR="008A74F9">
        <w:t xml:space="preserve"> </w:t>
      </w:r>
      <w:r w:rsidR="0023259D">
        <w:t xml:space="preserve">la </w:t>
      </w:r>
      <w:r w:rsidR="0023259D" w:rsidRPr="0081622C">
        <w:rPr>
          <w:b/>
          <w:bCs/>
        </w:rPr>
        <w:t>desalinización</w:t>
      </w:r>
      <w:r w:rsidR="0023259D">
        <w:t xml:space="preserve">, aunque no es una prioridad actual, el creciente turismo y las condiciones climáticas cambiantes podrían aumentar la demanda de </w:t>
      </w:r>
      <w:r w:rsidR="008A74F9">
        <w:t xml:space="preserve">estas tecnologías </w:t>
      </w:r>
      <w:r w:rsidR="0023259D">
        <w:t>en el futuro.</w:t>
      </w:r>
    </w:p>
    <w:p w14:paraId="4F1E97A8" w14:textId="63ACD86D" w:rsidR="008A74F9" w:rsidRDefault="0023259D" w:rsidP="0023259D">
      <w:r>
        <w:t xml:space="preserve">Croacia presenta </w:t>
      </w:r>
      <w:r w:rsidR="008A74F9">
        <w:t xml:space="preserve">pues </w:t>
      </w:r>
      <w:r>
        <w:t xml:space="preserve">una serie de desafíos en la gestión del agua que ofrecen una amplia gama de oportunidades para empresas en diversos sectores. Desde la modernización de la infraestructura de abastecimiento de agua hasta el tratamiento de aguas residuales, pasando por la irrigación y la prevención de inundaciones, hay un espacio considerable para </w:t>
      </w:r>
      <w:r w:rsidR="008A74F9">
        <w:t>empresas que puedan satisfacer estas necesidades</w:t>
      </w:r>
      <w:r>
        <w:t>.</w:t>
      </w:r>
    </w:p>
    <w:p w14:paraId="2963CC26" w14:textId="6A38F673" w:rsidR="0023259D" w:rsidRDefault="008A74F9" w:rsidP="0023259D">
      <w:r>
        <w:t xml:space="preserve">La </w:t>
      </w:r>
      <w:r w:rsidRPr="0081622C">
        <w:rPr>
          <w:b/>
          <w:bCs/>
        </w:rPr>
        <w:t>financiación</w:t>
      </w:r>
      <w:r>
        <w:t xml:space="preserve"> de estos proyectos procede </w:t>
      </w:r>
      <w:r w:rsidRPr="0081622C">
        <w:rPr>
          <w:b/>
          <w:bCs/>
        </w:rPr>
        <w:t>en su</w:t>
      </w:r>
      <w:r w:rsidR="00025491">
        <w:rPr>
          <w:b/>
          <w:bCs/>
        </w:rPr>
        <w:t xml:space="preserve"> inmensa</w:t>
      </w:r>
      <w:r w:rsidRPr="0081622C">
        <w:rPr>
          <w:b/>
          <w:bCs/>
        </w:rPr>
        <w:t xml:space="preserve"> mayoría de fondos de la UE</w:t>
      </w:r>
      <w:r>
        <w:t xml:space="preserve"> y del presupuesto nacional. </w:t>
      </w:r>
      <w:r w:rsidR="0023259D">
        <w:t xml:space="preserve">Desde su adhesión a la Unión Europea en 2013, Croacia ha recibido </w:t>
      </w:r>
      <w:r w:rsidR="0023259D">
        <w:lastRenderedPageBreak/>
        <w:t xml:space="preserve">significativos fondos económicos para diversos proyectos, especialmente </w:t>
      </w:r>
      <w:r>
        <w:t>para</w:t>
      </w:r>
      <w:r w:rsidR="0023259D">
        <w:t xml:space="preserve"> la mejora de la gestión del agua y la infraestructura. El ciclo financiero actual de la UE, que abarca el </w:t>
      </w:r>
      <w:r w:rsidR="0023259D" w:rsidRPr="0081622C">
        <w:rPr>
          <w:b/>
          <w:bCs/>
        </w:rPr>
        <w:t>periodo 2021-2027</w:t>
      </w:r>
      <w:r w:rsidR="0023259D">
        <w:t xml:space="preserve">, destaca por tener el presupuesto más grande hasta la fecha. De este, cerca de 25 mil millones de euros están reservados para Croacia. </w:t>
      </w:r>
      <w:r>
        <w:t>En este marco, el</w:t>
      </w:r>
      <w:r w:rsidR="0023259D">
        <w:t xml:space="preserve"> </w:t>
      </w:r>
      <w:r w:rsidR="0023259D" w:rsidRPr="0081622C">
        <w:rPr>
          <w:b/>
          <w:bCs/>
        </w:rPr>
        <w:t>Programa de Competitividad y Cohesión</w:t>
      </w:r>
      <w:r w:rsidR="0023259D">
        <w:t xml:space="preserve"> establece objetivos clave que incluyen la mejora de la gestión de los recursos hídricos. Este programa ha asignado un presupuesto específico de </w:t>
      </w:r>
      <w:r w:rsidR="0023259D" w:rsidRPr="0081622C">
        <w:rPr>
          <w:b/>
          <w:bCs/>
        </w:rPr>
        <w:t>695 millones de euros</w:t>
      </w:r>
      <w:r w:rsidR="0023259D">
        <w:t xml:space="preserve"> para proyectos que van desde la rehabilitación de tuberías y plantas de tratamiento de aguas residuales</w:t>
      </w:r>
      <w:r w:rsidR="0081622C">
        <w:t>,</w:t>
      </w:r>
      <w:r w:rsidR="0023259D">
        <w:t xml:space="preserve"> hasta la implementación de medidas para mejorar </w:t>
      </w:r>
      <w:r>
        <w:t>la gestión</w:t>
      </w:r>
      <w:r w:rsidR="0023259D">
        <w:t xml:space="preserve"> del agua. Además, el país ha aprobado un Plan Estratégico para la Política Agraria Común con un valor de 3.746 millones de euros, que también abarca la protección de recursos naturales como el agua.</w:t>
      </w:r>
    </w:p>
    <w:p w14:paraId="0FEEB3F9" w14:textId="5A24F41C" w:rsidR="0023259D" w:rsidRDefault="0023259D" w:rsidP="0023259D">
      <w:r>
        <w:t xml:space="preserve">La inversión en el sector hídrico también se ve reflejada en el </w:t>
      </w:r>
      <w:r w:rsidRPr="0081622C">
        <w:rPr>
          <w:b/>
          <w:bCs/>
        </w:rPr>
        <w:t>Plan Nacional de Recuperación y Resiliencia de</w:t>
      </w:r>
      <w:r w:rsidR="0081622C">
        <w:rPr>
          <w:b/>
          <w:bCs/>
        </w:rPr>
        <w:t xml:space="preserve"> la República de</w:t>
      </w:r>
      <w:r w:rsidRPr="0081622C">
        <w:rPr>
          <w:b/>
          <w:bCs/>
        </w:rPr>
        <w:t xml:space="preserve"> Croacia</w:t>
      </w:r>
      <w:r>
        <w:t xml:space="preserve">, que ha sido dotado con </w:t>
      </w:r>
      <w:r w:rsidR="00025491">
        <w:t>5</w:t>
      </w:r>
      <w:r>
        <w:t>.</w:t>
      </w:r>
      <w:r w:rsidR="00025491">
        <w:t>510</w:t>
      </w:r>
      <w:r>
        <w:t xml:space="preserve"> millones de euros provenientes de fondos europeos. De estos, </w:t>
      </w:r>
      <w:r w:rsidRPr="0081622C">
        <w:rPr>
          <w:b/>
          <w:bCs/>
        </w:rPr>
        <w:t>861 millones</w:t>
      </w:r>
      <w:r>
        <w:t xml:space="preserve"> están destinados exclusivamente a mejorar la gestión del agua y los residuos. En el contexto de los desastres naturales, Croacia ha sido beneficiaria del </w:t>
      </w:r>
      <w:r w:rsidRPr="00C92165">
        <w:rPr>
          <w:b/>
          <w:bCs/>
        </w:rPr>
        <w:t>Fondo de Solidaridad de la UE</w:t>
      </w:r>
      <w:r>
        <w:t xml:space="preserve"> para responder a las inundaciones.</w:t>
      </w:r>
    </w:p>
    <w:p w14:paraId="28A3A8B1" w14:textId="5ABD335D" w:rsidR="0023259D" w:rsidRDefault="008A74F9" w:rsidP="0023259D">
      <w:r>
        <w:t xml:space="preserve">En cuanto a la </w:t>
      </w:r>
      <w:r w:rsidRPr="00C92165">
        <w:rPr>
          <w:b/>
          <w:bCs/>
        </w:rPr>
        <w:t>imagen del país</w:t>
      </w:r>
      <w:r>
        <w:t xml:space="preserve">, destaca una </w:t>
      </w:r>
      <w:r w:rsidR="0023259D">
        <w:t xml:space="preserve">percepción generalmente </w:t>
      </w:r>
      <w:r w:rsidR="0023259D" w:rsidRPr="00C92165">
        <w:rPr>
          <w:b/>
          <w:bCs/>
        </w:rPr>
        <w:t>positiva</w:t>
      </w:r>
      <w:r w:rsidR="0023259D">
        <w:t xml:space="preserve"> de las empresas y productos españoles, aunque el conocimiento sobre estas empresas sigue siendo relativamente bajo. </w:t>
      </w:r>
      <w:r w:rsidR="006148DD">
        <w:t>No obstante,</w:t>
      </w:r>
      <w:r w:rsidR="0023259D">
        <w:t xml:space="preserve"> pes</w:t>
      </w:r>
      <w:r w:rsidR="006148DD">
        <w:t>e a la</w:t>
      </w:r>
      <w:r w:rsidR="0023259D">
        <w:t xml:space="preserve"> </w:t>
      </w:r>
      <w:r w:rsidR="0023259D" w:rsidRPr="002E608D">
        <w:rPr>
          <w:b/>
          <w:bCs/>
        </w:rPr>
        <w:t>competencia con países más cercanos</w:t>
      </w:r>
      <w:r w:rsidR="0023259D">
        <w:t xml:space="preserve"> como Italia, Austria y Suiza, varias empresas españolas han conseguido contratos para proyectos importantes en Croacia en los últimos años.</w:t>
      </w:r>
      <w:r w:rsidR="006148DD">
        <w:t xml:space="preserve"> Dos empresas españolas que tienen presencia en Croacia son EPTISA y COMSA.</w:t>
      </w:r>
    </w:p>
    <w:p w14:paraId="4E51E35C" w14:textId="7A5665B1" w:rsidR="00F714BC" w:rsidRDefault="00621472" w:rsidP="00621472">
      <w:r>
        <w:t xml:space="preserve">Entrar en el mercado de aguas de Croacia implica superar ciertos </w:t>
      </w:r>
      <w:r w:rsidRPr="00C92165">
        <w:rPr>
          <w:b/>
          <w:bCs/>
        </w:rPr>
        <w:t>obstáculos y retos específicos</w:t>
      </w:r>
      <w:r>
        <w:t xml:space="preserve">. A pesar de la libre circulación y la exención de aranceles en el marco de la Unión Europea, la </w:t>
      </w:r>
      <w:r w:rsidRPr="00C92165">
        <w:rPr>
          <w:b/>
          <w:bCs/>
        </w:rPr>
        <w:t>falta de transparencia</w:t>
      </w:r>
      <w:r>
        <w:t xml:space="preserve"> y la </w:t>
      </w:r>
      <w:r w:rsidRPr="00C92165">
        <w:rPr>
          <w:b/>
          <w:bCs/>
        </w:rPr>
        <w:t>lentitud</w:t>
      </w:r>
      <w:r>
        <w:t xml:space="preserve"> en la administración pública croata plantean desafíos significativos, especialmente en la adjudicación de licitaciones. A ello se suma la </w:t>
      </w:r>
      <w:r w:rsidRPr="00C92165">
        <w:rPr>
          <w:b/>
          <w:bCs/>
        </w:rPr>
        <w:t>intensa competencia de precios</w:t>
      </w:r>
      <w:r>
        <w:t xml:space="preserve"> locales, así como la </w:t>
      </w:r>
      <w:r w:rsidRPr="00C92165">
        <w:rPr>
          <w:b/>
          <w:bCs/>
        </w:rPr>
        <w:t>creciente presencia de empresas chinas y turcas</w:t>
      </w:r>
      <w:r w:rsidR="00C92165" w:rsidRPr="00C92165">
        <w:t>,</w:t>
      </w:r>
      <w:r w:rsidR="008A74F9">
        <w:t xml:space="preserve"> que a menudo pueden ofertar precios más bajos. </w:t>
      </w:r>
      <w:r w:rsidR="00F714BC">
        <w:t>Además, lo</w:t>
      </w:r>
      <w:r>
        <w:t xml:space="preserve">s </w:t>
      </w:r>
      <w:r w:rsidRPr="00C92165">
        <w:rPr>
          <w:b/>
          <w:bCs/>
        </w:rPr>
        <w:t>procedimientos de licitación son complejos</w:t>
      </w:r>
      <w:r>
        <w:t>, requieren documentación en croata y se ven frecuentemente afectados por apelaciones y cancelaciones. Esto ha llevado a que algunas empresas españolas se retiren de l</w:t>
      </w:r>
      <w:r w:rsidR="00C92165">
        <w:t>os procesos de</w:t>
      </w:r>
      <w:r>
        <w:t xml:space="preserve"> licitaci</w:t>
      </w:r>
      <w:r w:rsidR="00C92165">
        <w:t>ón</w:t>
      </w:r>
      <w:r>
        <w:t xml:space="preserve"> debido a la falta de transparencia. Sin embargo, Croacia ha estado tomando medidas para alinear sus prácticas con las normas de la UE, incluida la aprobación de una nueva ley de contratación pública que prioriza la calidad sobre el precio en la adjudicación y simplifica la documentación necesaria.</w:t>
      </w:r>
    </w:p>
    <w:p w14:paraId="1B7E30AA" w14:textId="1E193EB9" w:rsidR="00FB2258" w:rsidRDefault="00621472" w:rsidP="00621472">
      <w:r>
        <w:t xml:space="preserve">En este entorno, la </w:t>
      </w:r>
      <w:r w:rsidRPr="00C92165">
        <w:rPr>
          <w:b/>
          <w:bCs/>
        </w:rPr>
        <w:t>colaboración con socios locales</w:t>
      </w:r>
      <w:r>
        <w:t xml:space="preserve"> o la </w:t>
      </w:r>
      <w:r w:rsidRPr="00C92165">
        <w:rPr>
          <w:b/>
          <w:bCs/>
        </w:rPr>
        <w:t>subcontratación</w:t>
      </w:r>
      <w:r>
        <w:t xml:space="preserve"> </w:t>
      </w:r>
      <w:r w:rsidR="00DA1CCB">
        <w:t>de</w:t>
      </w:r>
      <w:r>
        <w:t xml:space="preserve"> empresas locales se presenta como una estrategia efectiva para ganar licitaciones.</w:t>
      </w:r>
      <w:r w:rsidR="00212B68">
        <w:t xml:space="preserve"> </w:t>
      </w:r>
      <w:r>
        <w:t xml:space="preserve">También puede ser beneficioso establecer </w:t>
      </w:r>
      <w:r w:rsidRPr="00C92165">
        <w:rPr>
          <w:b/>
          <w:bCs/>
        </w:rPr>
        <w:t>consorcios</w:t>
      </w:r>
      <w:r>
        <w:t xml:space="preserve"> con empresas de países cercanos como Austria, Eslovenia e Italia, que podrían ofrecer ventajas en términos de costos. Además, el conocimiento del entorno croata y una planificación cuidadosa son clave para cualquier empresa que desee entrar en este mercado.</w:t>
      </w:r>
    </w:p>
    <w:p w14:paraId="239A209D" w14:textId="31D004A1" w:rsidR="00C56803" w:rsidRDefault="00C56803" w:rsidP="007A2D36">
      <w:pPr>
        <w:pStyle w:val="Ttulo1"/>
        <w:ind w:left="0"/>
      </w:pPr>
      <w:bookmarkStart w:id="3" w:name="_Toc479593629"/>
      <w:bookmarkStart w:id="4" w:name="_Toc479594584"/>
      <w:bookmarkStart w:id="5" w:name="_Toc148363691"/>
      <w:r>
        <w:lastRenderedPageBreak/>
        <w:t>Definición de</w:t>
      </w:r>
      <w:r w:rsidR="006E6C82">
        <w:t>l</w:t>
      </w:r>
      <w:r>
        <w:t xml:space="preserve"> sector</w:t>
      </w:r>
      <w:bookmarkEnd w:id="3"/>
      <w:bookmarkEnd w:id="4"/>
      <w:bookmarkEnd w:id="5"/>
    </w:p>
    <w:p w14:paraId="7F804E1E" w14:textId="1D41088F" w:rsidR="004C4ABB" w:rsidRDefault="00794348" w:rsidP="00AA76D1">
      <w:pPr>
        <w:rPr>
          <w:color w:val="auto"/>
          <w:lang w:eastAsia="es-ES_tradnl"/>
        </w:rPr>
      </w:pPr>
      <w:r w:rsidRPr="00794348">
        <w:rPr>
          <w:color w:val="auto"/>
          <w:lang w:eastAsia="es-ES_tradnl"/>
        </w:rPr>
        <w:t xml:space="preserve">Este estudio </w:t>
      </w:r>
      <w:r>
        <w:rPr>
          <w:color w:val="auto"/>
          <w:lang w:eastAsia="es-ES_tradnl"/>
        </w:rPr>
        <w:t xml:space="preserve">ofrece una </w:t>
      </w:r>
      <w:r w:rsidRPr="00584DB0">
        <w:rPr>
          <w:b/>
          <w:bCs/>
          <w:color w:val="auto"/>
          <w:lang w:eastAsia="es-ES_tradnl"/>
        </w:rPr>
        <w:t xml:space="preserve">visión </w:t>
      </w:r>
      <w:r w:rsidR="00041E0D">
        <w:rPr>
          <w:b/>
          <w:bCs/>
          <w:color w:val="auto"/>
          <w:lang w:eastAsia="es-ES_tradnl"/>
        </w:rPr>
        <w:t>introductoria</w:t>
      </w:r>
      <w:r w:rsidRPr="00794348">
        <w:rPr>
          <w:color w:val="auto"/>
          <w:lang w:eastAsia="es-ES_tradnl"/>
        </w:rPr>
        <w:t xml:space="preserve"> del </w:t>
      </w:r>
      <w:r w:rsidRPr="00584DB0">
        <w:rPr>
          <w:b/>
          <w:bCs/>
          <w:color w:val="auto"/>
          <w:lang w:eastAsia="es-ES_tradnl"/>
        </w:rPr>
        <w:t>sector del agua en Croacia</w:t>
      </w:r>
      <w:r w:rsidRPr="00794348">
        <w:rPr>
          <w:color w:val="auto"/>
          <w:lang w:eastAsia="es-ES_tradnl"/>
        </w:rPr>
        <w:t>, dirigid</w:t>
      </w:r>
      <w:r>
        <w:rPr>
          <w:color w:val="auto"/>
          <w:lang w:eastAsia="es-ES_tradnl"/>
        </w:rPr>
        <w:t>a</w:t>
      </w:r>
      <w:r w:rsidRPr="00794348">
        <w:rPr>
          <w:color w:val="auto"/>
          <w:lang w:eastAsia="es-ES_tradnl"/>
        </w:rPr>
        <w:t xml:space="preserve"> a potenciales inversores</w:t>
      </w:r>
      <w:r w:rsidR="002C01B5">
        <w:rPr>
          <w:color w:val="auto"/>
          <w:lang w:eastAsia="es-ES_tradnl"/>
        </w:rPr>
        <w:t xml:space="preserve"> y empresas</w:t>
      </w:r>
      <w:r w:rsidRPr="00794348">
        <w:rPr>
          <w:color w:val="auto"/>
          <w:lang w:eastAsia="es-ES_tradnl"/>
        </w:rPr>
        <w:t xml:space="preserve"> español</w:t>
      </w:r>
      <w:r w:rsidR="002C01B5">
        <w:rPr>
          <w:color w:val="auto"/>
          <w:lang w:eastAsia="es-ES_tradnl"/>
        </w:rPr>
        <w:t>as</w:t>
      </w:r>
      <w:r w:rsidRPr="00794348">
        <w:rPr>
          <w:color w:val="auto"/>
          <w:lang w:eastAsia="es-ES_tradnl"/>
        </w:rPr>
        <w:t>. Cubre aspectos como</w:t>
      </w:r>
      <w:r w:rsidR="007E7A1E">
        <w:rPr>
          <w:color w:val="auto"/>
          <w:lang w:eastAsia="es-ES_tradnl"/>
        </w:rPr>
        <w:t xml:space="preserve"> </w:t>
      </w:r>
      <w:r w:rsidRPr="00794348">
        <w:rPr>
          <w:color w:val="auto"/>
          <w:lang w:eastAsia="es-ES_tradnl"/>
        </w:rPr>
        <w:t xml:space="preserve">la </w:t>
      </w:r>
      <w:r w:rsidR="00616F74">
        <w:rPr>
          <w:b/>
          <w:bCs/>
          <w:color w:val="auto"/>
          <w:lang w:eastAsia="es-ES_tradnl"/>
        </w:rPr>
        <w:t>organización y características</w:t>
      </w:r>
      <w:r w:rsidRPr="00794348">
        <w:rPr>
          <w:color w:val="auto"/>
          <w:lang w:eastAsia="es-ES_tradnl"/>
        </w:rPr>
        <w:t xml:space="preserve"> de</w:t>
      </w:r>
      <w:r>
        <w:rPr>
          <w:color w:val="auto"/>
          <w:lang w:eastAsia="es-ES_tradnl"/>
        </w:rPr>
        <w:t>l</w:t>
      </w:r>
      <w:r w:rsidRPr="00794348">
        <w:rPr>
          <w:color w:val="auto"/>
          <w:lang w:eastAsia="es-ES_tradnl"/>
        </w:rPr>
        <w:t xml:space="preserve"> mercado del agua,</w:t>
      </w:r>
      <w:r>
        <w:rPr>
          <w:color w:val="auto"/>
          <w:lang w:eastAsia="es-ES_tradnl"/>
        </w:rPr>
        <w:t xml:space="preserve"> </w:t>
      </w:r>
      <w:r w:rsidRPr="00794348">
        <w:rPr>
          <w:color w:val="auto"/>
          <w:lang w:eastAsia="es-ES_tradnl"/>
        </w:rPr>
        <w:t xml:space="preserve">las </w:t>
      </w:r>
      <w:r w:rsidR="002C01B5">
        <w:rPr>
          <w:color w:val="auto"/>
          <w:lang w:eastAsia="es-ES_tradnl"/>
        </w:rPr>
        <w:t xml:space="preserve">principales </w:t>
      </w:r>
      <w:r w:rsidRPr="0008187A">
        <w:rPr>
          <w:b/>
          <w:bCs/>
          <w:color w:val="auto"/>
          <w:lang w:eastAsia="es-ES_tradnl"/>
        </w:rPr>
        <w:t>fuentes de financiación</w:t>
      </w:r>
      <w:r w:rsidRPr="00794348">
        <w:rPr>
          <w:color w:val="auto"/>
          <w:lang w:eastAsia="es-ES_tradnl"/>
        </w:rPr>
        <w:t xml:space="preserve"> para proyectos de infraestructura hídrica</w:t>
      </w:r>
      <w:r>
        <w:rPr>
          <w:color w:val="auto"/>
          <w:lang w:eastAsia="es-ES_tradnl"/>
        </w:rPr>
        <w:t xml:space="preserve">, y </w:t>
      </w:r>
      <w:r w:rsidRPr="00794348">
        <w:rPr>
          <w:color w:val="auto"/>
          <w:lang w:eastAsia="es-ES_tradnl"/>
        </w:rPr>
        <w:t xml:space="preserve">los </w:t>
      </w:r>
      <w:r w:rsidRPr="0008187A">
        <w:rPr>
          <w:b/>
          <w:bCs/>
          <w:color w:val="auto"/>
          <w:lang w:eastAsia="es-ES_tradnl"/>
        </w:rPr>
        <w:t>competidores</w:t>
      </w:r>
      <w:r>
        <w:rPr>
          <w:color w:val="auto"/>
          <w:lang w:eastAsia="es-ES_tradnl"/>
        </w:rPr>
        <w:t xml:space="preserve"> existentes</w:t>
      </w:r>
      <w:r w:rsidRPr="00794348">
        <w:rPr>
          <w:color w:val="auto"/>
          <w:lang w:eastAsia="es-ES_tradnl"/>
        </w:rPr>
        <w:t>, incluyendo l</w:t>
      </w:r>
      <w:r>
        <w:rPr>
          <w:color w:val="auto"/>
          <w:lang w:eastAsia="es-ES_tradnl"/>
        </w:rPr>
        <w:t xml:space="preserve">a </w:t>
      </w:r>
      <w:r w:rsidRPr="0008187A">
        <w:rPr>
          <w:b/>
          <w:bCs/>
          <w:color w:val="auto"/>
          <w:lang w:eastAsia="es-ES_tradnl"/>
        </w:rPr>
        <w:t>oferta española</w:t>
      </w:r>
      <w:r w:rsidRPr="00794348">
        <w:rPr>
          <w:color w:val="auto"/>
          <w:lang w:eastAsia="es-ES_tradnl"/>
        </w:rPr>
        <w:t xml:space="preserve">. Se examina </w:t>
      </w:r>
      <w:r w:rsidR="00616F74">
        <w:rPr>
          <w:color w:val="auto"/>
          <w:lang w:eastAsia="es-ES_tradnl"/>
        </w:rPr>
        <w:t xml:space="preserve">también </w:t>
      </w:r>
      <w:r w:rsidRPr="00794348">
        <w:rPr>
          <w:color w:val="auto"/>
          <w:lang w:eastAsia="es-ES_tradnl"/>
        </w:rPr>
        <w:t xml:space="preserve">la </w:t>
      </w:r>
      <w:r w:rsidRPr="0008187A">
        <w:rPr>
          <w:b/>
          <w:bCs/>
          <w:color w:val="auto"/>
          <w:lang w:eastAsia="es-ES_tradnl"/>
        </w:rPr>
        <w:t>percepción del producto español</w:t>
      </w:r>
      <w:r w:rsidRPr="00794348">
        <w:rPr>
          <w:color w:val="auto"/>
          <w:lang w:eastAsia="es-ES_tradnl"/>
        </w:rPr>
        <w:t xml:space="preserve">, </w:t>
      </w:r>
      <w:r w:rsidR="00616F74">
        <w:rPr>
          <w:color w:val="auto"/>
          <w:lang w:eastAsia="es-ES_tradnl"/>
        </w:rPr>
        <w:t xml:space="preserve">la </w:t>
      </w:r>
      <w:r w:rsidR="00616F74" w:rsidRPr="00616F74">
        <w:rPr>
          <w:b/>
          <w:bCs/>
          <w:color w:val="auto"/>
          <w:lang w:eastAsia="es-ES_tradnl"/>
        </w:rPr>
        <w:t>demanda</w:t>
      </w:r>
      <w:r w:rsidRPr="00794348">
        <w:rPr>
          <w:color w:val="auto"/>
          <w:lang w:eastAsia="es-ES_tradnl"/>
        </w:rPr>
        <w:t xml:space="preserve"> y las </w:t>
      </w:r>
      <w:r w:rsidRPr="0008187A">
        <w:rPr>
          <w:b/>
          <w:bCs/>
          <w:color w:val="auto"/>
          <w:lang w:eastAsia="es-ES_tradnl"/>
        </w:rPr>
        <w:t>barreras de entrada</w:t>
      </w:r>
      <w:r w:rsidRPr="00794348">
        <w:rPr>
          <w:color w:val="auto"/>
          <w:lang w:eastAsia="es-ES_tradnl"/>
        </w:rPr>
        <w:t xml:space="preserve"> al mercado croata. Se abordan </w:t>
      </w:r>
      <w:r w:rsidRPr="00041E0D">
        <w:rPr>
          <w:color w:val="auto"/>
          <w:lang w:eastAsia="es-ES_tradnl"/>
        </w:rPr>
        <w:t>l</w:t>
      </w:r>
      <w:r w:rsidR="00041E0D" w:rsidRPr="00041E0D">
        <w:rPr>
          <w:color w:val="auto"/>
          <w:lang w:eastAsia="es-ES_tradnl"/>
        </w:rPr>
        <w:t>o</w:t>
      </w:r>
      <w:r w:rsidRPr="00041E0D">
        <w:rPr>
          <w:color w:val="auto"/>
          <w:lang w:eastAsia="es-ES_tradnl"/>
        </w:rPr>
        <w:t xml:space="preserve">s </w:t>
      </w:r>
      <w:r w:rsidR="00041E0D">
        <w:rPr>
          <w:color w:val="auto"/>
          <w:lang w:eastAsia="es-ES_tradnl"/>
        </w:rPr>
        <w:t>campos con más</w:t>
      </w:r>
      <w:r w:rsidRPr="00794348">
        <w:rPr>
          <w:color w:val="auto"/>
          <w:lang w:eastAsia="es-ES_tradnl"/>
        </w:rPr>
        <w:t xml:space="preserve"> </w:t>
      </w:r>
      <w:r w:rsidRPr="0008187A">
        <w:rPr>
          <w:b/>
          <w:bCs/>
          <w:color w:val="auto"/>
          <w:lang w:eastAsia="es-ES_tradnl"/>
        </w:rPr>
        <w:t>oportunidades</w:t>
      </w:r>
      <w:r w:rsidRPr="00794348">
        <w:rPr>
          <w:color w:val="auto"/>
          <w:lang w:eastAsia="es-ES_tradnl"/>
        </w:rPr>
        <w:t xml:space="preserve"> del sector, </w:t>
      </w:r>
      <w:r w:rsidR="002C01B5" w:rsidRPr="00747987">
        <w:rPr>
          <w:color w:val="auto"/>
          <w:lang w:eastAsia="es-ES_tradnl"/>
        </w:rPr>
        <w:t xml:space="preserve">como </w:t>
      </w:r>
      <w:r w:rsidR="002C01B5">
        <w:rPr>
          <w:color w:val="auto"/>
          <w:lang w:eastAsia="es-ES_tradnl"/>
        </w:rPr>
        <w:t>el desarrollo de la</w:t>
      </w:r>
      <w:r w:rsidR="002C01B5" w:rsidRPr="00747987">
        <w:rPr>
          <w:color w:val="auto"/>
          <w:lang w:eastAsia="es-ES_tradnl"/>
        </w:rPr>
        <w:t xml:space="preserve"> red de abastecimiento</w:t>
      </w:r>
      <w:r w:rsidR="002C01B5">
        <w:rPr>
          <w:color w:val="auto"/>
          <w:lang w:eastAsia="es-ES_tradnl"/>
        </w:rPr>
        <w:t xml:space="preserve"> o </w:t>
      </w:r>
      <w:r w:rsidR="002C01B5" w:rsidRPr="00747987">
        <w:rPr>
          <w:color w:val="auto"/>
          <w:lang w:eastAsia="es-ES_tradnl"/>
        </w:rPr>
        <w:t xml:space="preserve">el tratamiento </w:t>
      </w:r>
      <w:r w:rsidR="00DA49B7">
        <w:rPr>
          <w:color w:val="auto"/>
          <w:lang w:eastAsia="es-ES_tradnl"/>
        </w:rPr>
        <w:t xml:space="preserve">y saneamiento </w:t>
      </w:r>
      <w:r w:rsidR="002C01B5" w:rsidRPr="00747987">
        <w:rPr>
          <w:color w:val="auto"/>
          <w:lang w:eastAsia="es-ES_tradnl"/>
        </w:rPr>
        <w:t>de aguas residuales</w:t>
      </w:r>
      <w:r w:rsidR="002C01B5">
        <w:rPr>
          <w:color w:val="auto"/>
          <w:lang w:eastAsia="es-ES_tradnl"/>
        </w:rPr>
        <w:t xml:space="preserve">, </w:t>
      </w:r>
      <w:r w:rsidRPr="00794348">
        <w:rPr>
          <w:color w:val="auto"/>
          <w:lang w:eastAsia="es-ES_tradnl"/>
        </w:rPr>
        <w:t>y se proporciona información relevante para los exportadores.</w:t>
      </w:r>
    </w:p>
    <w:p w14:paraId="1423CBE8" w14:textId="444AB42C" w:rsidR="003939D7" w:rsidRDefault="00231507" w:rsidP="003939D7">
      <w:pPr>
        <w:pStyle w:val="Ttulo2"/>
      </w:pPr>
      <w:bookmarkStart w:id="6" w:name="_Toc148363692"/>
      <w:r>
        <w:t>C</w:t>
      </w:r>
      <w:r w:rsidR="003939D7">
        <w:t xml:space="preserve">aracterísticas </w:t>
      </w:r>
      <w:r w:rsidR="002122FA">
        <w:t>generales</w:t>
      </w:r>
      <w:r>
        <w:t xml:space="preserve"> </w:t>
      </w:r>
      <w:r w:rsidR="003939D7">
        <w:t>del sector</w:t>
      </w:r>
      <w:bookmarkEnd w:id="6"/>
    </w:p>
    <w:p w14:paraId="1CE98B4E" w14:textId="44AE3060" w:rsidR="00584DB0" w:rsidRPr="00584DB0" w:rsidRDefault="00B25708" w:rsidP="00AA76D1">
      <w:pPr>
        <w:rPr>
          <w:lang w:val="es-ES" w:eastAsia="es-ES"/>
        </w:rPr>
      </w:pPr>
      <w:r w:rsidRPr="00B25708">
        <w:rPr>
          <w:b/>
          <w:bCs/>
          <w:lang w:val="es-ES" w:eastAsia="es-ES"/>
        </w:rPr>
        <w:t>Croacia es uno de los países de Europea con más recursos hídricos per cápita</w:t>
      </w:r>
      <w:r w:rsidRPr="00B25708">
        <w:rPr>
          <w:lang w:val="es-ES" w:eastAsia="es-ES"/>
        </w:rPr>
        <w:t>, contando con una media anual a largo plazo de aproximadamente 29.200 m³ de agua dulce por habitante. Esta cifra es significativamente alta si se compara con la mayoría de los países, cuyos recursos oscilan entre 1.000 y 20.000 m³ por persona. A modo de comparación, España, por ejemplo, cuenta con una media anual a largo plazo de unos 2.300 m³ de recursos hídricos por habitante</w:t>
      </w:r>
      <w:r w:rsidR="00584DB0" w:rsidRPr="00584DB0">
        <w:rPr>
          <w:lang w:val="es-ES" w:eastAsia="es-ES"/>
        </w:rPr>
        <w:t>.</w:t>
      </w:r>
      <w:r>
        <w:rPr>
          <w:rStyle w:val="Refdenotaalpie"/>
          <w:lang w:val="es-ES" w:eastAsia="es-ES"/>
        </w:rPr>
        <w:footnoteReference w:id="1"/>
      </w:r>
    </w:p>
    <w:p w14:paraId="689ADCA6" w14:textId="77777777" w:rsidR="00337977" w:rsidRDefault="00B25708" w:rsidP="00AA76D1">
      <w:pPr>
        <w:rPr>
          <w:lang w:val="es-ES" w:eastAsia="es-ES"/>
        </w:rPr>
      </w:pPr>
      <w:r w:rsidRPr="00B25708">
        <w:rPr>
          <w:lang w:val="es-ES" w:eastAsia="es-ES"/>
        </w:rPr>
        <w:t>Un informe de las Naciones Unidas indica que un país enfrenta "estrés hídrico" cuando dispone de menos de 1.700 m³ de recursos hídricos anuales por habitante, por lo que Croacia está muy por encima del umbral y dispone de abundantes recursos hídricos en relación con su población. Adicionalmente, es relevante mencionar que Croacia recibe una de las mayores entradas externas de agua entre los Estados miembros de la UE, con un total de 93.783 millones de m³, principalmente provenientes de la cuenca del Danubio.</w:t>
      </w:r>
      <w:r>
        <w:rPr>
          <w:rStyle w:val="Refdenotaalpie"/>
          <w:lang w:val="es-ES" w:eastAsia="es-ES"/>
        </w:rPr>
        <w:footnoteReference w:id="2"/>
      </w:r>
      <w:r>
        <w:rPr>
          <w:lang w:val="es-ES" w:eastAsia="es-ES"/>
        </w:rPr>
        <w:t xml:space="preserve"> </w:t>
      </w:r>
    </w:p>
    <w:p w14:paraId="41380711" w14:textId="1CFFF53F" w:rsidR="00B25708" w:rsidRDefault="00337977" w:rsidP="00AA76D1">
      <w:pPr>
        <w:rPr>
          <w:lang w:val="es-ES" w:eastAsia="es-ES"/>
        </w:rPr>
      </w:pPr>
      <w:r w:rsidRPr="008901F6">
        <w:rPr>
          <w:lang w:val="es-ES" w:eastAsia="es-ES"/>
        </w:rPr>
        <w:t xml:space="preserve">El territorio se divide en </w:t>
      </w:r>
      <w:r w:rsidRPr="008901F6">
        <w:rPr>
          <w:b/>
          <w:bCs/>
          <w:lang w:val="es-ES" w:eastAsia="es-ES"/>
        </w:rPr>
        <w:t>dos cuencas fluviales principales</w:t>
      </w:r>
      <w:r w:rsidRPr="008901F6">
        <w:rPr>
          <w:lang w:val="es-ES" w:eastAsia="es-ES"/>
        </w:rPr>
        <w:t xml:space="preserve">, la del Danubio y la del Adriático. </w:t>
      </w:r>
      <w:r w:rsidR="008901F6" w:rsidRPr="008901F6">
        <w:rPr>
          <w:lang w:val="es-ES" w:eastAsia="es-ES"/>
        </w:rPr>
        <w:t>La cuenca del</w:t>
      </w:r>
      <w:r w:rsidRPr="008901F6">
        <w:rPr>
          <w:lang w:val="es-ES" w:eastAsia="es-ES"/>
        </w:rPr>
        <w:t xml:space="preserve"> Danubio drena más del 66</w:t>
      </w:r>
      <w:r w:rsidR="00D0081F">
        <w:rPr>
          <w:lang w:val="es-ES" w:eastAsia="es-ES"/>
        </w:rPr>
        <w:t xml:space="preserve"> </w:t>
      </w:r>
      <w:r w:rsidRPr="008901F6">
        <w:rPr>
          <w:lang w:val="es-ES" w:eastAsia="es-ES"/>
        </w:rPr>
        <w:t>% de la Croacia continental, donde vive casi el 68</w:t>
      </w:r>
      <w:r w:rsidR="00D0081F">
        <w:rPr>
          <w:lang w:val="es-ES" w:eastAsia="es-ES"/>
        </w:rPr>
        <w:t xml:space="preserve"> </w:t>
      </w:r>
      <w:r w:rsidRPr="008901F6">
        <w:rPr>
          <w:lang w:val="es-ES" w:eastAsia="es-ES"/>
        </w:rPr>
        <w:t>% de la población del país.</w:t>
      </w:r>
      <w:r w:rsidRPr="008901F6">
        <w:rPr>
          <w:rStyle w:val="Refdenotaalpie"/>
          <w:lang w:val="es-ES" w:eastAsia="es-ES"/>
        </w:rPr>
        <w:footnoteReference w:id="3"/>
      </w:r>
      <w:r w:rsidRPr="008901F6">
        <w:rPr>
          <w:lang w:val="es-ES" w:eastAsia="es-ES"/>
        </w:rPr>
        <w:t xml:space="preserve"> </w:t>
      </w:r>
      <w:r w:rsidR="00B25708" w:rsidRPr="008901F6">
        <w:rPr>
          <w:lang w:val="es-ES" w:eastAsia="es-ES"/>
        </w:rPr>
        <w:t xml:space="preserve">Asimismo, </w:t>
      </w:r>
      <w:r w:rsidR="00B25708" w:rsidRPr="00146A39">
        <w:rPr>
          <w:lang w:val="es-ES" w:eastAsia="es-ES"/>
        </w:rPr>
        <w:t>cabe también destacar que el 8</w:t>
      </w:r>
      <w:r w:rsidR="00146A39" w:rsidRPr="00146A39">
        <w:rPr>
          <w:lang w:val="es-ES" w:eastAsia="es-ES"/>
        </w:rPr>
        <w:t>0,5</w:t>
      </w:r>
      <w:r w:rsidR="00D0081F">
        <w:rPr>
          <w:lang w:val="es-ES" w:eastAsia="es-ES"/>
        </w:rPr>
        <w:t xml:space="preserve"> </w:t>
      </w:r>
      <w:r w:rsidR="00B25708" w:rsidRPr="00146A39">
        <w:rPr>
          <w:lang w:val="es-ES" w:eastAsia="es-ES"/>
        </w:rPr>
        <w:t xml:space="preserve">% del agua potable proviene de fuentes subterráneas y el </w:t>
      </w:r>
      <w:r w:rsidR="00146A39">
        <w:rPr>
          <w:lang w:val="es-ES" w:eastAsia="es-ES"/>
        </w:rPr>
        <w:t>9,6</w:t>
      </w:r>
      <w:r w:rsidR="00D0081F">
        <w:rPr>
          <w:lang w:val="es-ES" w:eastAsia="es-ES"/>
        </w:rPr>
        <w:t xml:space="preserve"> </w:t>
      </w:r>
      <w:r w:rsidR="00B25708" w:rsidRPr="00146A39">
        <w:rPr>
          <w:lang w:val="es-ES" w:eastAsia="es-ES"/>
        </w:rPr>
        <w:t>% de aguas superficiales</w:t>
      </w:r>
      <w:r w:rsidR="00D11A1B" w:rsidRPr="00146A39">
        <w:rPr>
          <w:lang w:val="es-ES" w:eastAsia="es-ES"/>
        </w:rPr>
        <w:t>.</w:t>
      </w:r>
      <w:r w:rsidR="00146A39">
        <w:rPr>
          <w:rStyle w:val="Refdenotaalpie"/>
          <w:lang w:val="es-ES" w:eastAsia="es-ES"/>
        </w:rPr>
        <w:footnoteReference w:id="4"/>
      </w:r>
    </w:p>
    <w:p w14:paraId="08C25776" w14:textId="11D528B6" w:rsidR="00B25708" w:rsidRDefault="00B25708" w:rsidP="00B25708">
      <w:pPr>
        <w:rPr>
          <w:lang w:val="es-ES" w:eastAsia="es-ES"/>
        </w:rPr>
      </w:pPr>
      <w:r w:rsidRPr="00B25708">
        <w:rPr>
          <w:lang w:val="es-ES" w:eastAsia="es-ES"/>
        </w:rPr>
        <w:lastRenderedPageBreak/>
        <w:t xml:space="preserve">Además del </w:t>
      </w:r>
      <w:r w:rsidRPr="00B25708">
        <w:rPr>
          <w:b/>
          <w:bCs/>
          <w:lang w:val="es-ES" w:eastAsia="es-ES"/>
        </w:rPr>
        <w:t>Danubio</w:t>
      </w:r>
      <w:r w:rsidRPr="00B25708">
        <w:rPr>
          <w:lang w:val="es-ES" w:eastAsia="es-ES"/>
        </w:rPr>
        <w:t xml:space="preserve">, el segundo río más caudaloso de Europa, el país cuenta con ríos como el </w:t>
      </w:r>
      <w:r w:rsidRPr="00B25708">
        <w:rPr>
          <w:b/>
          <w:bCs/>
          <w:lang w:val="es-ES" w:eastAsia="es-ES"/>
        </w:rPr>
        <w:t>Sava</w:t>
      </w:r>
      <w:r w:rsidRPr="00B25708">
        <w:rPr>
          <w:lang w:val="es-ES" w:eastAsia="es-ES"/>
        </w:rPr>
        <w:t xml:space="preserve"> y el </w:t>
      </w:r>
      <w:r w:rsidRPr="00B25708">
        <w:rPr>
          <w:b/>
          <w:bCs/>
          <w:lang w:val="es-ES" w:eastAsia="es-ES"/>
        </w:rPr>
        <w:t>Drava</w:t>
      </w:r>
      <w:r w:rsidRPr="00B25708">
        <w:rPr>
          <w:lang w:val="es-ES" w:eastAsia="es-ES"/>
        </w:rPr>
        <w:t xml:space="preserve">, que miden 944 y 725 kilómetros respectivamente. Aunque tiene </w:t>
      </w:r>
      <w:r w:rsidRPr="00B25708">
        <w:rPr>
          <w:b/>
          <w:bCs/>
          <w:lang w:val="es-ES" w:eastAsia="es-ES"/>
        </w:rPr>
        <w:t>pocos lagos naturales</w:t>
      </w:r>
      <w:r w:rsidRPr="00B25708">
        <w:rPr>
          <w:lang w:val="es-ES" w:eastAsia="es-ES"/>
        </w:rPr>
        <w:t xml:space="preserve">, existen </w:t>
      </w:r>
      <w:r w:rsidRPr="00B25708">
        <w:rPr>
          <w:b/>
          <w:bCs/>
          <w:lang w:val="es-ES" w:eastAsia="es-ES"/>
        </w:rPr>
        <w:t>varios lagos artificiales</w:t>
      </w:r>
      <w:r w:rsidRPr="00B25708">
        <w:rPr>
          <w:lang w:val="es-ES" w:eastAsia="es-ES"/>
        </w:rPr>
        <w:t xml:space="preserve"> creados para plantas hidroeléctricas, como el lago </w:t>
      </w:r>
      <w:r w:rsidRPr="00B25708">
        <w:rPr>
          <w:b/>
          <w:bCs/>
          <w:lang w:val="es-ES" w:eastAsia="es-ES"/>
        </w:rPr>
        <w:t>Dubrava</w:t>
      </w:r>
      <w:r w:rsidRPr="00B25708">
        <w:rPr>
          <w:lang w:val="es-ES" w:eastAsia="es-ES"/>
        </w:rPr>
        <w:t xml:space="preserve">, el mayor de los cuatro lagos artificiales construidos en el río Drava, y el lago </w:t>
      </w:r>
      <w:r w:rsidRPr="00B25708">
        <w:rPr>
          <w:b/>
          <w:bCs/>
          <w:lang w:val="es-ES" w:eastAsia="es-ES"/>
        </w:rPr>
        <w:t>Peruča</w:t>
      </w:r>
      <w:r w:rsidRPr="00B25708">
        <w:rPr>
          <w:lang w:val="es-ES" w:eastAsia="es-ES"/>
        </w:rPr>
        <w:t>, el segundo lago artificial más grande de Croacia después del lago Dubrava, en el río Cetina.</w:t>
      </w:r>
    </w:p>
    <w:p w14:paraId="491F9DB1" w14:textId="2270285D" w:rsidR="006227F7" w:rsidRDefault="006227F7" w:rsidP="00B25708">
      <w:pPr>
        <w:rPr>
          <w:color w:val="auto"/>
          <w:lang w:val="es-ES" w:eastAsia="es-ES"/>
        </w:rPr>
      </w:pPr>
      <w:r>
        <w:rPr>
          <w:color w:val="auto"/>
          <w:lang w:val="es-ES" w:eastAsia="es-ES"/>
        </w:rPr>
        <w:t xml:space="preserve">Por otro lado, el </w:t>
      </w:r>
      <w:r w:rsidRPr="006227F7">
        <w:rPr>
          <w:b/>
          <w:bCs/>
          <w:color w:val="auto"/>
          <w:lang w:val="es-ES" w:eastAsia="es-ES"/>
        </w:rPr>
        <w:t>archipiélago croata</w:t>
      </w:r>
      <w:r>
        <w:rPr>
          <w:color w:val="auto"/>
          <w:lang w:val="es-ES" w:eastAsia="es-ES"/>
        </w:rPr>
        <w:t xml:space="preserve"> en el mar Adriático consta 1.244 formaciones naturales, incluyendo 78 islas, 524 islotes y 642 acantilados/arrecifes. Entre las islas, 49 están habitadas y cerca de la costa. Las islas más grandes, Cres y Krk, miden unos 406 </w:t>
      </w:r>
      <w:r w:rsidRPr="006227F7">
        <w:rPr>
          <w:color w:val="auto"/>
          <w:lang w:val="es-ES" w:eastAsia="es-ES"/>
        </w:rPr>
        <w:t>km</w:t>
      </w:r>
      <w:r>
        <w:rPr>
          <w:color w:val="auto"/>
          <w:vertAlign w:val="superscript"/>
          <w:lang w:val="es-ES" w:eastAsia="es-ES"/>
        </w:rPr>
        <w:t>2</w:t>
      </w:r>
      <w:r>
        <w:rPr>
          <w:color w:val="auto"/>
          <w:lang w:val="es-ES" w:eastAsia="es-ES"/>
        </w:rPr>
        <w:t xml:space="preserve"> cada una. La población total de estas islas es de 132.756 personas, representando el 3,10</w:t>
      </w:r>
      <w:r w:rsidR="00D0081F">
        <w:rPr>
          <w:color w:val="auto"/>
          <w:lang w:val="es-ES" w:eastAsia="es-ES"/>
        </w:rPr>
        <w:t xml:space="preserve"> </w:t>
      </w:r>
      <w:r>
        <w:rPr>
          <w:color w:val="auto"/>
          <w:lang w:val="es-ES" w:eastAsia="es-ES"/>
        </w:rPr>
        <w:t>% de la población nacional.</w:t>
      </w:r>
      <w:r>
        <w:rPr>
          <w:rStyle w:val="Refdenotaalpie"/>
          <w:lang w:val="es-ES" w:eastAsia="es-ES"/>
        </w:rPr>
        <w:footnoteReference w:id="5"/>
      </w:r>
    </w:p>
    <w:p w14:paraId="67819974" w14:textId="17AD1769" w:rsidR="006227F7" w:rsidRDefault="006227F7" w:rsidP="00B25708">
      <w:pPr>
        <w:rPr>
          <w:color w:val="auto"/>
          <w:lang w:val="es-ES" w:eastAsia="es-ES"/>
        </w:rPr>
      </w:pPr>
      <w:r>
        <w:rPr>
          <w:color w:val="auto"/>
          <w:lang w:val="es-ES" w:eastAsia="es-ES"/>
        </w:rPr>
        <w:t xml:space="preserve">En términos de </w:t>
      </w:r>
      <w:r w:rsidRPr="006227F7">
        <w:rPr>
          <w:b/>
          <w:bCs/>
          <w:color w:val="auto"/>
          <w:lang w:val="es-ES" w:eastAsia="es-ES"/>
        </w:rPr>
        <w:t>abastecimiento de agua</w:t>
      </w:r>
      <w:r>
        <w:rPr>
          <w:color w:val="auto"/>
          <w:lang w:val="es-ES" w:eastAsia="es-ES"/>
        </w:rPr>
        <w:t xml:space="preserve">, las </w:t>
      </w:r>
      <w:r w:rsidRPr="006227F7">
        <w:rPr>
          <w:b/>
          <w:bCs/>
          <w:color w:val="auto"/>
          <w:lang w:val="es-ES" w:eastAsia="es-ES"/>
        </w:rPr>
        <w:t>islas</w:t>
      </w:r>
      <w:r>
        <w:rPr>
          <w:color w:val="auto"/>
          <w:lang w:val="es-ES" w:eastAsia="es-ES"/>
        </w:rPr>
        <w:t xml:space="preserve"> croatas emplean diversas estrategias, incluyendo sistemas subterráneos y soluciones adaptadas a cada isla. Asimismo, en ciertos casos, el suministro de agua proviene parcialmente de los recursos propios de las islas y parcialmente de conexiones con el continente.</w:t>
      </w:r>
    </w:p>
    <w:p w14:paraId="52B69876" w14:textId="5AD21940" w:rsidR="000E5343" w:rsidRPr="000E5343" w:rsidRDefault="00D63DEE" w:rsidP="00B25708">
      <w:pPr>
        <w:rPr>
          <w:lang w:val="es-ES" w:eastAsia="es-ES"/>
        </w:rPr>
      </w:pPr>
      <w:r w:rsidRPr="00D63DEE">
        <w:rPr>
          <w:lang w:val="es-ES" w:eastAsia="es-ES"/>
        </w:rPr>
        <w:t xml:space="preserve">El foco del sector hídrico croata se centra en el </w:t>
      </w:r>
      <w:r w:rsidRPr="00D63DEE">
        <w:rPr>
          <w:b/>
          <w:bCs/>
          <w:lang w:val="es-ES" w:eastAsia="es-ES"/>
        </w:rPr>
        <w:t>suministro de agua</w:t>
      </w:r>
      <w:r w:rsidRPr="00D63DEE">
        <w:rPr>
          <w:lang w:val="es-ES" w:eastAsia="es-ES"/>
        </w:rPr>
        <w:t xml:space="preserve">, que engloba </w:t>
      </w:r>
      <w:r w:rsidR="007A60C7">
        <w:rPr>
          <w:lang w:val="es-ES" w:eastAsia="es-ES"/>
        </w:rPr>
        <w:t xml:space="preserve">aspectos como </w:t>
      </w:r>
      <w:r w:rsidRPr="00D63DEE">
        <w:rPr>
          <w:lang w:val="es-ES" w:eastAsia="es-ES"/>
        </w:rPr>
        <w:t xml:space="preserve">consumo, higiene, protección contra incendios </w:t>
      </w:r>
      <w:r w:rsidR="007A60C7">
        <w:rPr>
          <w:lang w:val="es-ES" w:eastAsia="es-ES"/>
        </w:rPr>
        <w:t>o</w:t>
      </w:r>
      <w:r w:rsidRPr="00D63DEE">
        <w:rPr>
          <w:lang w:val="es-ES" w:eastAsia="es-ES"/>
        </w:rPr>
        <w:t xml:space="preserve"> defensa. Este suministro implica extracción, bombeo, tratamiento y distribución de agua subterránea y superficial, de acuerdo con las normas legales. </w:t>
      </w:r>
      <w:r w:rsidR="000E5343" w:rsidRPr="000E5343">
        <w:rPr>
          <w:lang w:val="es-ES" w:eastAsia="es-ES"/>
        </w:rPr>
        <w:t xml:space="preserve">En este contexto, </w:t>
      </w:r>
      <w:r w:rsidR="000E5343" w:rsidRPr="007A60C7">
        <w:rPr>
          <w:b/>
          <w:bCs/>
          <w:lang w:val="es-ES" w:eastAsia="es-ES"/>
        </w:rPr>
        <w:t>Hrvatske Vode</w:t>
      </w:r>
      <w:r w:rsidR="000E5343" w:rsidRPr="000E5343">
        <w:rPr>
          <w:lang w:val="es-ES" w:eastAsia="es-ES"/>
        </w:rPr>
        <w:t>, la empresa estatal, juega un papel relevante supervisando la mejora de la irrigación mediante la recogida de agua superficial y de lluvia.</w:t>
      </w:r>
    </w:p>
    <w:p w14:paraId="25E4E757" w14:textId="033B5648" w:rsidR="000E5343" w:rsidRPr="00AB3E41" w:rsidRDefault="00D63DEE" w:rsidP="000E5343">
      <w:pPr>
        <w:rPr>
          <w:lang w:val="es-ES" w:eastAsia="es-ES"/>
        </w:rPr>
      </w:pPr>
      <w:r w:rsidRPr="00945D7F">
        <w:rPr>
          <w:lang w:val="es-ES" w:eastAsia="es-ES"/>
        </w:rPr>
        <w:t xml:space="preserve">Junto al suministro de agua, la </w:t>
      </w:r>
      <w:r w:rsidRPr="00945D7F">
        <w:rPr>
          <w:b/>
          <w:bCs/>
          <w:lang w:val="es-ES" w:eastAsia="es-ES"/>
        </w:rPr>
        <w:t>generación de energía hidroeléctrica</w:t>
      </w:r>
      <w:r w:rsidRPr="00945D7F">
        <w:rPr>
          <w:lang w:val="es-ES" w:eastAsia="es-ES"/>
        </w:rPr>
        <w:t xml:space="preserve"> es otra función clave del sector</w:t>
      </w:r>
      <w:r w:rsidR="005C456F" w:rsidRPr="00945D7F">
        <w:rPr>
          <w:lang w:val="es-ES" w:eastAsia="es-ES"/>
        </w:rPr>
        <w:t xml:space="preserve">. </w:t>
      </w:r>
      <w:r w:rsidR="00945D7F" w:rsidRPr="00945D7F">
        <w:rPr>
          <w:lang w:val="es-ES" w:eastAsia="es-ES"/>
        </w:rPr>
        <w:t xml:space="preserve">Según la Oficina de Estadística de Croacia, las </w:t>
      </w:r>
      <w:r w:rsidR="00945D7F" w:rsidRPr="00945D7F">
        <w:rPr>
          <w:u w:val="single"/>
          <w:lang w:val="es-ES" w:eastAsia="es-ES"/>
        </w:rPr>
        <w:t>plantas hidroeléctricas</w:t>
      </w:r>
      <w:r w:rsidR="00945D7F" w:rsidRPr="00945D7F">
        <w:rPr>
          <w:lang w:val="es-ES" w:eastAsia="es-ES"/>
        </w:rPr>
        <w:t xml:space="preserve"> son la </w:t>
      </w:r>
      <w:r w:rsidR="00945D7F" w:rsidRPr="00945D7F">
        <w:rPr>
          <w:u w:val="single"/>
          <w:lang w:val="es-ES" w:eastAsia="es-ES"/>
        </w:rPr>
        <w:t>principal fuente de generación de energía en el país</w:t>
      </w:r>
      <w:r w:rsidR="00945D7F" w:rsidRPr="00945D7F">
        <w:rPr>
          <w:lang w:val="es-ES" w:eastAsia="es-ES"/>
        </w:rPr>
        <w:t xml:space="preserve">. </w:t>
      </w:r>
      <w:r w:rsidR="00964A04">
        <w:rPr>
          <w:lang w:val="es-ES" w:eastAsia="es-ES"/>
        </w:rPr>
        <w:t>E</w:t>
      </w:r>
      <w:r w:rsidR="00945D7F" w:rsidRPr="00945D7F">
        <w:rPr>
          <w:lang w:val="es-ES" w:eastAsia="es-ES"/>
        </w:rPr>
        <w:t>n mayo de 2023, se registró una producción bruta total de 925 GWh de energía procedente de estas instalaciones</w:t>
      </w:r>
      <w:r w:rsidR="00945D7F">
        <w:rPr>
          <w:lang w:val="es-ES" w:eastAsia="es-ES"/>
        </w:rPr>
        <w:t xml:space="preserve">. </w:t>
      </w:r>
      <w:r w:rsidR="00945D7F" w:rsidRPr="00945D7F">
        <w:rPr>
          <w:lang w:val="es-ES" w:eastAsia="es-ES"/>
        </w:rPr>
        <w:t>Esta cantidad</w:t>
      </w:r>
      <w:r w:rsidR="002D5B1F">
        <w:rPr>
          <w:lang w:val="es-ES" w:eastAsia="es-ES"/>
        </w:rPr>
        <w:t xml:space="preserve"> </w:t>
      </w:r>
      <w:r w:rsidR="00945D7F" w:rsidRPr="00945D7F">
        <w:rPr>
          <w:lang w:val="es-ES" w:eastAsia="es-ES"/>
        </w:rPr>
        <w:t xml:space="preserve">supera </w:t>
      </w:r>
      <w:r w:rsidR="00964A04" w:rsidRPr="00964A04">
        <w:rPr>
          <w:lang w:val="es-ES" w:eastAsia="es-ES"/>
        </w:rPr>
        <w:t xml:space="preserve">significativamente los 238 GWh generados por las plantas eólicas y los 260 GWh producidos por las centrales térmicas </w:t>
      </w:r>
      <w:r w:rsidR="00964A04" w:rsidRPr="00AB3E41">
        <w:rPr>
          <w:lang w:val="es-ES" w:eastAsia="es-ES"/>
        </w:rPr>
        <w:t>y plantas de cogeneración que utilizan combustibles fósiles</w:t>
      </w:r>
      <w:r w:rsidR="002D5B1F" w:rsidRPr="00AB3E41">
        <w:rPr>
          <w:lang w:val="es-ES" w:eastAsia="es-ES"/>
        </w:rPr>
        <w:t xml:space="preserve"> en el mismo periodo</w:t>
      </w:r>
      <w:r w:rsidR="00945D7F" w:rsidRPr="00AB3E41">
        <w:rPr>
          <w:lang w:val="es-ES" w:eastAsia="es-ES"/>
        </w:rPr>
        <w:t>.</w:t>
      </w:r>
      <w:r w:rsidR="00945D7F" w:rsidRPr="00AB3E41">
        <w:rPr>
          <w:rStyle w:val="Refdenotaalpie"/>
          <w:lang w:val="es-ES" w:eastAsia="es-ES"/>
        </w:rPr>
        <w:footnoteReference w:id="6"/>
      </w:r>
    </w:p>
    <w:p w14:paraId="4553C1AB" w14:textId="3384B530" w:rsidR="004663AF" w:rsidRPr="00584DB0" w:rsidRDefault="00E67352" w:rsidP="00AA76D1">
      <w:pPr>
        <w:rPr>
          <w:lang w:val="es-ES" w:eastAsia="es-ES"/>
        </w:rPr>
      </w:pPr>
      <w:r>
        <w:rPr>
          <w:lang w:val="es-ES" w:eastAsia="es-ES"/>
        </w:rPr>
        <w:t>Asimismo, r</w:t>
      </w:r>
      <w:r w:rsidR="00F45BA3">
        <w:rPr>
          <w:lang w:val="es-ES" w:eastAsia="es-ES"/>
        </w:rPr>
        <w:t>esulta esencial indicar</w:t>
      </w:r>
      <w:r w:rsidR="0058129B">
        <w:rPr>
          <w:lang w:val="es-ES" w:eastAsia="es-ES"/>
        </w:rPr>
        <w:t xml:space="preserve"> que, a</w:t>
      </w:r>
      <w:r w:rsidR="004663AF" w:rsidRPr="004663AF">
        <w:rPr>
          <w:lang w:val="es-ES" w:eastAsia="es-ES"/>
        </w:rPr>
        <w:t xml:space="preserve"> pesar de tener un buen sistema de gestión de aguas</w:t>
      </w:r>
      <w:r w:rsidR="00307F55">
        <w:rPr>
          <w:rStyle w:val="Refdenotaalpie"/>
          <w:lang w:val="es-ES" w:eastAsia="es-ES"/>
        </w:rPr>
        <w:footnoteReference w:id="7"/>
      </w:r>
      <w:r w:rsidR="007A60C7">
        <w:rPr>
          <w:lang w:val="es-ES" w:eastAsia="es-ES"/>
        </w:rPr>
        <w:t>,</w:t>
      </w:r>
      <w:r w:rsidR="004663AF" w:rsidRPr="004663AF">
        <w:rPr>
          <w:lang w:val="es-ES" w:eastAsia="es-ES"/>
        </w:rPr>
        <w:t xml:space="preserve"> la </w:t>
      </w:r>
      <w:r w:rsidR="004663AF" w:rsidRPr="004663AF">
        <w:rPr>
          <w:b/>
          <w:bCs/>
          <w:lang w:val="es-ES" w:eastAsia="es-ES"/>
        </w:rPr>
        <w:t>infraestructura hídrica</w:t>
      </w:r>
      <w:r w:rsidR="004663AF" w:rsidRPr="004663AF">
        <w:rPr>
          <w:lang w:val="es-ES" w:eastAsia="es-ES"/>
        </w:rPr>
        <w:t xml:space="preserve"> del país está </w:t>
      </w:r>
      <w:r w:rsidR="004663AF" w:rsidRPr="004663AF">
        <w:rPr>
          <w:b/>
          <w:bCs/>
          <w:lang w:val="es-ES" w:eastAsia="es-ES"/>
        </w:rPr>
        <w:t>obsoleta en muchos casos</w:t>
      </w:r>
      <w:r w:rsidR="004663AF" w:rsidRPr="004663AF">
        <w:rPr>
          <w:lang w:val="es-ES" w:eastAsia="es-ES"/>
        </w:rPr>
        <w:t xml:space="preserve"> y no cumple con sus funciones de la forma más eficiente. Por ello, se han obtenido </w:t>
      </w:r>
      <w:r w:rsidR="004663AF" w:rsidRPr="004663AF">
        <w:rPr>
          <w:b/>
          <w:bCs/>
          <w:lang w:val="es-ES" w:eastAsia="es-ES"/>
        </w:rPr>
        <w:t>inversiones significativas</w:t>
      </w:r>
      <w:r w:rsidR="004663AF" w:rsidRPr="004663AF">
        <w:rPr>
          <w:lang w:val="es-ES" w:eastAsia="es-ES"/>
        </w:rPr>
        <w:t xml:space="preserve"> para modernizar esta infraestructura, con el objetivo de hacerla accesible a toda la población, evitar pérdidas de agua y paliar las consecuencias de la guerra de los Balcanes. Numerosos bancos e instituciones han </w:t>
      </w:r>
      <w:r w:rsidR="004663AF" w:rsidRPr="004663AF">
        <w:rPr>
          <w:lang w:val="es-ES" w:eastAsia="es-ES"/>
        </w:rPr>
        <w:lastRenderedPageBreak/>
        <w:t>contribuido a esta mejora, buscando adecuarla a las exigencias de las directivas comunitarias tras la entrada de Croacia en la Unión Europea en 2013.</w:t>
      </w:r>
    </w:p>
    <w:p w14:paraId="7BFEB82C" w14:textId="6E7A2B11" w:rsidR="00C24847" w:rsidRDefault="005024D4" w:rsidP="00AA76D1">
      <w:pPr>
        <w:rPr>
          <w:lang w:val="es-ES" w:eastAsia="es-ES"/>
        </w:rPr>
      </w:pPr>
      <w:r>
        <w:rPr>
          <w:lang w:val="es-ES" w:eastAsia="es-ES"/>
        </w:rPr>
        <w:t>Finalmente</w:t>
      </w:r>
      <w:r w:rsidRPr="005024D4">
        <w:rPr>
          <w:lang w:val="es-ES" w:eastAsia="es-ES"/>
        </w:rPr>
        <w:t xml:space="preserve">, </w:t>
      </w:r>
      <w:r>
        <w:rPr>
          <w:lang w:val="es-ES" w:eastAsia="es-ES"/>
        </w:rPr>
        <w:t>hay que mencionar</w:t>
      </w:r>
      <w:r w:rsidRPr="005024D4">
        <w:rPr>
          <w:lang w:val="es-ES" w:eastAsia="es-ES"/>
        </w:rPr>
        <w:t xml:space="preserve"> que la </w:t>
      </w:r>
      <w:r w:rsidRPr="005024D4">
        <w:rPr>
          <w:b/>
          <w:bCs/>
          <w:lang w:val="es-ES" w:eastAsia="es-ES"/>
        </w:rPr>
        <w:t>gestión de los recursos hídricos compartidos</w:t>
      </w:r>
      <w:r w:rsidRPr="005024D4">
        <w:rPr>
          <w:lang w:val="es-ES" w:eastAsia="es-ES"/>
        </w:rPr>
        <w:t xml:space="preserve"> con los países vecinos </w:t>
      </w:r>
      <w:r w:rsidR="00C24847">
        <w:rPr>
          <w:lang w:val="es-ES" w:eastAsia="es-ES"/>
        </w:rPr>
        <w:t>es compleja</w:t>
      </w:r>
      <w:r w:rsidR="00C24847" w:rsidRPr="00C24847">
        <w:rPr>
          <w:lang w:val="es-ES" w:eastAsia="es-ES"/>
        </w:rPr>
        <w:t xml:space="preserve"> debido a las conexiones subterráneas y flujos de agua entre ellos.</w:t>
      </w:r>
    </w:p>
    <w:p w14:paraId="0C6B6C0B" w14:textId="1E50DF22" w:rsidR="007C6EDD" w:rsidRDefault="007C6EDD" w:rsidP="007C6EDD">
      <w:pPr>
        <w:pStyle w:val="Ttulo2"/>
      </w:pPr>
      <w:bookmarkStart w:id="8" w:name="_Toc148363693"/>
      <w:r>
        <w:t>Organización del sector y principales actores</w:t>
      </w:r>
      <w:bookmarkEnd w:id="8"/>
    </w:p>
    <w:p w14:paraId="67F0D5CF" w14:textId="2B50851A" w:rsidR="001D6101" w:rsidRPr="001D6101" w:rsidRDefault="001D6101" w:rsidP="00AA76D1">
      <w:pPr>
        <w:rPr>
          <w:rFonts w:ascii="Arial" w:hAnsi="Arial" w:cs="Arial"/>
          <w:color w:val="auto"/>
          <w:szCs w:val="22"/>
        </w:rPr>
      </w:pPr>
      <w:r w:rsidRPr="001D6101">
        <w:rPr>
          <w:color w:val="auto"/>
          <w:lang w:val="es-ES" w:eastAsia="es-ES"/>
        </w:rPr>
        <w:t xml:space="preserve">El </w:t>
      </w:r>
      <w:r w:rsidRPr="001D6101">
        <w:rPr>
          <w:b/>
          <w:bCs/>
          <w:color w:val="auto"/>
          <w:lang w:val="es-ES" w:eastAsia="es-ES"/>
        </w:rPr>
        <w:t>sector del agua</w:t>
      </w:r>
      <w:r w:rsidRPr="001D6101">
        <w:rPr>
          <w:color w:val="auto"/>
          <w:lang w:val="es-ES" w:eastAsia="es-ES"/>
        </w:rPr>
        <w:t xml:space="preserve"> en Croacia, </w:t>
      </w:r>
      <w:r w:rsidRPr="001D6101">
        <w:rPr>
          <w:b/>
          <w:bCs/>
          <w:color w:val="auto"/>
          <w:lang w:val="es-ES" w:eastAsia="es-ES"/>
        </w:rPr>
        <w:t>regulado a nivel estatal</w:t>
      </w:r>
      <w:r w:rsidRPr="001D6101">
        <w:rPr>
          <w:color w:val="auto"/>
          <w:lang w:val="es-ES" w:eastAsia="es-ES"/>
        </w:rPr>
        <w:t>, opera bajo un marco jurídico definido por la Constitución del país, la Ley del Agua (“</w:t>
      </w:r>
      <w:r w:rsidRPr="001D6101">
        <w:rPr>
          <w:i/>
          <w:iCs/>
          <w:color w:val="auto"/>
          <w:lang w:val="es-ES" w:eastAsia="es-ES"/>
        </w:rPr>
        <w:t>Water Act</w:t>
      </w:r>
      <w:r w:rsidRPr="001D6101">
        <w:rPr>
          <w:color w:val="auto"/>
          <w:lang w:val="es-ES" w:eastAsia="es-ES"/>
        </w:rPr>
        <w:t xml:space="preserve">”) y la Ley de Financiación de la Gestión del Agua. Este marco legal, enraizado en la Constitución, establece </w:t>
      </w:r>
      <w:r w:rsidR="00837305" w:rsidRPr="00837305">
        <w:rPr>
          <w:color w:val="auto"/>
          <w:lang w:val="es-ES" w:eastAsia="es-ES"/>
        </w:rPr>
        <w:t>el agua como un recurso de especial relevancia para la República de Croacia, garantizando de esta manera su protección y conservación.</w:t>
      </w:r>
    </w:p>
    <w:p w14:paraId="1750631C" w14:textId="77777777" w:rsidR="004D62F2" w:rsidRDefault="001D6101" w:rsidP="00AA76D1">
      <w:pPr>
        <w:rPr>
          <w:color w:val="auto"/>
          <w:lang w:val="es-ES" w:eastAsia="es-ES"/>
        </w:rPr>
      </w:pPr>
      <w:r w:rsidRPr="001D6101">
        <w:rPr>
          <w:color w:val="auto"/>
          <w:lang w:val="es-ES" w:eastAsia="es-ES"/>
        </w:rPr>
        <w:t xml:space="preserve">El </w:t>
      </w:r>
      <w:r w:rsidRPr="004D62F2">
        <w:rPr>
          <w:b/>
          <w:bCs/>
          <w:color w:val="auto"/>
          <w:lang w:val="es-ES" w:eastAsia="es-ES"/>
        </w:rPr>
        <w:t>Parlamento</w:t>
      </w:r>
      <w:r w:rsidRPr="001D6101">
        <w:rPr>
          <w:color w:val="auto"/>
          <w:lang w:val="es-ES" w:eastAsia="es-ES"/>
        </w:rPr>
        <w:t xml:space="preserve"> y el </w:t>
      </w:r>
      <w:r w:rsidRPr="004D62F2">
        <w:rPr>
          <w:b/>
          <w:bCs/>
          <w:color w:val="auto"/>
          <w:lang w:val="es-ES" w:eastAsia="es-ES"/>
        </w:rPr>
        <w:t>Gobierno</w:t>
      </w:r>
      <w:r w:rsidRPr="001D6101">
        <w:rPr>
          <w:color w:val="auto"/>
          <w:lang w:val="es-ES" w:eastAsia="es-ES"/>
        </w:rPr>
        <w:t xml:space="preserve"> de la República de Croacia son las </w:t>
      </w:r>
      <w:r w:rsidRPr="004D62F2">
        <w:rPr>
          <w:b/>
          <w:bCs/>
          <w:color w:val="auto"/>
          <w:lang w:val="es-ES" w:eastAsia="es-ES"/>
        </w:rPr>
        <w:t>principales autoridades</w:t>
      </w:r>
      <w:r w:rsidRPr="001D6101">
        <w:rPr>
          <w:color w:val="auto"/>
          <w:lang w:val="es-ES" w:eastAsia="es-ES"/>
        </w:rPr>
        <w:t xml:space="preserve"> encargadas de regular y supervisar este sector. Mientras el Parlamento</w:t>
      </w:r>
      <w:r w:rsidRPr="001D6101">
        <w:t xml:space="preserve"> </w:t>
      </w:r>
      <w:r w:rsidRPr="001D6101">
        <w:rPr>
          <w:color w:val="auto"/>
          <w:lang w:val="es-ES" w:eastAsia="es-ES"/>
        </w:rPr>
        <w:t>se encarga de la adopción de leyes y estrategias a escala nacional que rigen este sector, el Gobierno se ocupa de diseñar y adoptar planes hidrológicos</w:t>
      </w:r>
      <w:r>
        <w:rPr>
          <w:color w:val="auto"/>
          <w:lang w:val="es-ES" w:eastAsia="es-ES"/>
        </w:rPr>
        <w:t xml:space="preserve"> </w:t>
      </w:r>
      <w:r w:rsidRPr="001D6101">
        <w:rPr>
          <w:color w:val="auto"/>
          <w:lang w:val="es-ES" w:eastAsia="es-ES"/>
        </w:rPr>
        <w:t>y de presentar propuestas legislativas y estratégicas relevantes al Parlamento.</w:t>
      </w:r>
    </w:p>
    <w:p w14:paraId="53399CBE" w14:textId="623C4CE2" w:rsidR="001D6101" w:rsidRDefault="004D62F2" w:rsidP="00AA76D1">
      <w:pPr>
        <w:rPr>
          <w:color w:val="auto"/>
          <w:lang w:val="es-ES" w:eastAsia="es-ES"/>
        </w:rPr>
      </w:pPr>
      <w:r w:rsidRPr="004D62F2">
        <w:rPr>
          <w:color w:val="auto"/>
          <w:lang w:val="es-ES" w:eastAsia="es-ES"/>
        </w:rPr>
        <w:t xml:space="preserve">Es necesario señalar que tanto la </w:t>
      </w:r>
      <w:r w:rsidRPr="004D62F2">
        <w:rPr>
          <w:b/>
          <w:bCs/>
          <w:color w:val="auto"/>
          <w:lang w:val="es-ES" w:eastAsia="es-ES"/>
        </w:rPr>
        <w:t>gestión de las aguas</w:t>
      </w:r>
      <w:r w:rsidRPr="004D62F2">
        <w:rPr>
          <w:color w:val="auto"/>
          <w:lang w:val="es-ES" w:eastAsia="es-ES"/>
        </w:rPr>
        <w:t xml:space="preserve"> en el país, como las tareas de emitir </w:t>
      </w:r>
      <w:r w:rsidRPr="004D62F2">
        <w:rPr>
          <w:b/>
          <w:bCs/>
          <w:color w:val="auto"/>
          <w:lang w:val="es-ES" w:eastAsia="es-ES"/>
        </w:rPr>
        <w:t>licitaciones</w:t>
      </w:r>
      <w:r w:rsidRPr="004D62F2">
        <w:rPr>
          <w:color w:val="auto"/>
          <w:lang w:val="es-ES" w:eastAsia="es-ES"/>
        </w:rPr>
        <w:t xml:space="preserve"> </w:t>
      </w:r>
      <w:r w:rsidRPr="00CE17C8">
        <w:rPr>
          <w:color w:val="auto"/>
          <w:lang w:val="es-ES" w:eastAsia="es-ES"/>
        </w:rPr>
        <w:t>públicas, implementar</w:t>
      </w:r>
      <w:r w:rsidRPr="004D62F2">
        <w:rPr>
          <w:b/>
          <w:bCs/>
          <w:color w:val="auto"/>
          <w:lang w:val="es-ES" w:eastAsia="es-ES"/>
        </w:rPr>
        <w:t xml:space="preserve"> proyectos</w:t>
      </w:r>
      <w:r w:rsidRPr="004D62F2">
        <w:rPr>
          <w:color w:val="auto"/>
          <w:lang w:val="es-ES" w:eastAsia="es-ES"/>
        </w:rPr>
        <w:t xml:space="preserve"> </w:t>
      </w:r>
      <w:r w:rsidRPr="00CE17C8">
        <w:rPr>
          <w:color w:val="auto"/>
          <w:lang w:val="es-ES" w:eastAsia="es-ES"/>
        </w:rPr>
        <w:t>y administrar la</w:t>
      </w:r>
      <w:r w:rsidRPr="004D62F2">
        <w:rPr>
          <w:b/>
          <w:bCs/>
          <w:color w:val="auto"/>
          <w:lang w:val="es-ES" w:eastAsia="es-ES"/>
        </w:rPr>
        <w:t xml:space="preserve"> contratación</w:t>
      </w:r>
      <w:r w:rsidRPr="004D62F2">
        <w:rPr>
          <w:color w:val="auto"/>
          <w:lang w:val="es-ES" w:eastAsia="es-ES"/>
        </w:rPr>
        <w:t xml:space="preserve"> </w:t>
      </w:r>
      <w:r w:rsidRPr="00CE17C8">
        <w:rPr>
          <w:color w:val="auto"/>
          <w:lang w:val="es-ES" w:eastAsia="es-ES"/>
        </w:rPr>
        <w:t>y el</w:t>
      </w:r>
      <w:r w:rsidRPr="004D62F2">
        <w:rPr>
          <w:b/>
          <w:bCs/>
          <w:color w:val="auto"/>
          <w:lang w:val="es-ES" w:eastAsia="es-ES"/>
        </w:rPr>
        <w:t xml:space="preserve"> pago</w:t>
      </w:r>
      <w:r w:rsidRPr="004D62F2">
        <w:rPr>
          <w:color w:val="auto"/>
          <w:lang w:val="es-ES" w:eastAsia="es-ES"/>
        </w:rPr>
        <w:t xml:space="preserve">, son responsabilidades que recaen sobre la empresa estatal </w:t>
      </w:r>
      <w:hyperlink r:id="rId17" w:history="1">
        <w:r w:rsidRPr="00FD0EDD">
          <w:rPr>
            <w:rStyle w:val="Hipervnculo"/>
            <w:b/>
            <w:bCs/>
            <w:lang w:val="es-ES" w:eastAsia="es-ES"/>
          </w:rPr>
          <w:t>Hrvatske Vode</w:t>
        </w:r>
      </w:hyperlink>
      <w:r w:rsidRPr="004D62F2">
        <w:rPr>
          <w:color w:val="auto"/>
          <w:lang w:val="es-ES" w:eastAsia="es-ES"/>
        </w:rPr>
        <w:t xml:space="preserve"> ('Aguas croatas').</w:t>
      </w:r>
      <w:r w:rsidRPr="004D62F2">
        <w:t xml:space="preserve"> </w:t>
      </w:r>
      <w:r w:rsidRPr="004D62F2">
        <w:rPr>
          <w:color w:val="auto"/>
          <w:lang w:val="es-ES" w:eastAsia="es-ES"/>
        </w:rPr>
        <w:t xml:space="preserve">Todas estas acciones se realizan en estricto cumplimiento de la legislación nacional y comunitaria. </w:t>
      </w:r>
      <w:r>
        <w:rPr>
          <w:color w:val="auto"/>
          <w:lang w:val="es-ES" w:eastAsia="es-ES"/>
        </w:rPr>
        <w:t>Asimismo, e</w:t>
      </w:r>
      <w:r w:rsidRPr="004D62F2">
        <w:rPr>
          <w:color w:val="auto"/>
          <w:lang w:val="es-ES" w:eastAsia="es-ES"/>
        </w:rPr>
        <w:t>s especialmente relevante el papel</w:t>
      </w:r>
      <w:r w:rsidR="007A54D4">
        <w:rPr>
          <w:color w:val="auto"/>
          <w:lang w:val="es-ES" w:eastAsia="es-ES"/>
        </w:rPr>
        <w:t xml:space="preserve"> de la </w:t>
      </w:r>
      <w:r w:rsidR="007A54D4" w:rsidRPr="007A54D4">
        <w:rPr>
          <w:b/>
          <w:bCs/>
          <w:color w:val="auto"/>
          <w:lang w:val="es-ES" w:eastAsia="es-ES"/>
        </w:rPr>
        <w:t>Unión Europea</w:t>
      </w:r>
      <w:r w:rsidR="00855A4E" w:rsidRPr="00855A4E">
        <w:rPr>
          <w:color w:val="auto"/>
          <w:lang w:val="es-ES" w:eastAsia="es-ES"/>
        </w:rPr>
        <w:t xml:space="preserve">, que </w:t>
      </w:r>
      <w:r w:rsidR="00855A4E" w:rsidRPr="00855A4E">
        <w:rPr>
          <w:b/>
          <w:bCs/>
          <w:color w:val="auto"/>
          <w:lang w:val="es-ES" w:eastAsia="es-ES"/>
        </w:rPr>
        <w:t>está financiando todos los proyectos</w:t>
      </w:r>
      <w:r w:rsidR="00855A4E" w:rsidRPr="00855A4E">
        <w:rPr>
          <w:color w:val="auto"/>
          <w:lang w:val="es-ES" w:eastAsia="es-ES"/>
        </w:rPr>
        <w:t xml:space="preserve"> del sector.</w:t>
      </w:r>
      <w:r w:rsidR="007A54D4">
        <w:rPr>
          <w:color w:val="auto"/>
          <w:lang w:val="es-ES" w:eastAsia="es-ES"/>
        </w:rPr>
        <w:t xml:space="preserve"> </w:t>
      </w:r>
      <w:r w:rsidR="00855A4E">
        <w:rPr>
          <w:color w:val="auto"/>
          <w:lang w:val="es-ES" w:eastAsia="es-ES"/>
        </w:rPr>
        <w:t>Algunas</w:t>
      </w:r>
      <w:r w:rsidRPr="004D62F2">
        <w:rPr>
          <w:color w:val="auto"/>
          <w:lang w:val="es-ES" w:eastAsia="es-ES"/>
        </w:rPr>
        <w:t xml:space="preserve"> entidades</w:t>
      </w:r>
      <w:r w:rsidR="000B612A">
        <w:rPr>
          <w:color w:val="auto"/>
          <w:lang w:val="es-ES" w:eastAsia="es-ES"/>
        </w:rPr>
        <w:t xml:space="preserve"> internacionales</w:t>
      </w:r>
      <w:r w:rsidR="00855A4E">
        <w:rPr>
          <w:color w:val="auto"/>
          <w:lang w:val="es-ES" w:eastAsia="es-ES"/>
        </w:rPr>
        <w:t>, como e</w:t>
      </w:r>
      <w:r w:rsidR="00855A4E" w:rsidRPr="00855A4E">
        <w:rPr>
          <w:color w:val="auto"/>
          <w:lang w:val="es-ES" w:eastAsia="es-ES"/>
        </w:rPr>
        <w:t>l</w:t>
      </w:r>
      <w:r w:rsidRPr="00855A4E">
        <w:rPr>
          <w:color w:val="auto"/>
          <w:lang w:val="es-ES" w:eastAsia="es-ES"/>
        </w:rPr>
        <w:t xml:space="preserve"> Banco Europeo de Reconstrucción y Desarrollo (BERD), el Banco Europeo de Inversiones (BEI)</w:t>
      </w:r>
      <w:r w:rsidR="00D822E1" w:rsidRPr="00855A4E">
        <w:rPr>
          <w:color w:val="auto"/>
          <w:lang w:val="es-ES" w:eastAsia="es-ES"/>
        </w:rPr>
        <w:t xml:space="preserve"> </w:t>
      </w:r>
      <w:r w:rsidR="00CF1563" w:rsidRPr="00855A4E">
        <w:rPr>
          <w:color w:val="auto"/>
          <w:lang w:val="es-ES" w:eastAsia="es-ES"/>
        </w:rPr>
        <w:t>y</w:t>
      </w:r>
      <w:r w:rsidR="00FD0EDD" w:rsidRPr="00855A4E">
        <w:rPr>
          <w:color w:val="auto"/>
          <w:lang w:val="es-ES" w:eastAsia="es-ES"/>
        </w:rPr>
        <w:t xml:space="preserve"> el Banco de Desarrollo del Consejo de Europa (CEB</w:t>
      </w:r>
      <w:r w:rsidR="00FD0EDD">
        <w:rPr>
          <w:color w:val="auto"/>
          <w:lang w:val="es-ES" w:eastAsia="es-ES"/>
        </w:rPr>
        <w:t>)</w:t>
      </w:r>
      <w:r w:rsidR="00855A4E">
        <w:rPr>
          <w:color w:val="auto"/>
          <w:lang w:val="es-ES" w:eastAsia="es-ES"/>
        </w:rPr>
        <w:t>, también contribuyen con la financiación de proyectos pero solamente ayudando a financiar la parte correspondiente al Estado croata.</w:t>
      </w:r>
    </w:p>
    <w:p w14:paraId="471E1887" w14:textId="12CD7E40" w:rsidR="00C41755" w:rsidRDefault="00D822E1" w:rsidP="00C41755">
      <w:pPr>
        <w:rPr>
          <w:color w:val="auto"/>
        </w:rPr>
      </w:pPr>
      <w:r>
        <w:rPr>
          <w:color w:val="auto"/>
        </w:rPr>
        <w:t>Por otro lado, l</w:t>
      </w:r>
      <w:r w:rsidR="00C41755">
        <w:rPr>
          <w:color w:val="auto"/>
        </w:rPr>
        <w:t>a operación y gestión de las</w:t>
      </w:r>
      <w:r w:rsidR="00C41755" w:rsidRPr="00504201">
        <w:rPr>
          <w:color w:val="auto"/>
        </w:rPr>
        <w:t xml:space="preserve"> actividades de agua y saneamiento</w:t>
      </w:r>
      <w:r w:rsidR="00C41755">
        <w:rPr>
          <w:color w:val="auto"/>
        </w:rPr>
        <w:t xml:space="preserve"> en el país</w:t>
      </w:r>
      <w:r w:rsidR="00C41755" w:rsidRPr="00504201">
        <w:rPr>
          <w:color w:val="auto"/>
        </w:rPr>
        <w:t xml:space="preserve"> se financian con ingresos autónomos (tarifas por servicios de agua) y fondos del presupuesto de las unidades de gobierno local/regional.</w:t>
      </w:r>
    </w:p>
    <w:p w14:paraId="5F3D1C09" w14:textId="77BD4B3C" w:rsidR="001D6101" w:rsidRPr="001D6101" w:rsidRDefault="00BE453B" w:rsidP="00AA76D1">
      <w:pPr>
        <w:rPr>
          <w:color w:val="auto"/>
          <w:lang w:val="es-ES" w:eastAsia="es-ES"/>
        </w:rPr>
      </w:pPr>
      <w:r>
        <w:rPr>
          <w:color w:val="auto"/>
          <w:lang w:val="es-ES" w:eastAsia="es-ES"/>
        </w:rPr>
        <w:t>E</w:t>
      </w:r>
      <w:r w:rsidR="001D6101" w:rsidRPr="001D6101">
        <w:rPr>
          <w:color w:val="auto"/>
          <w:lang w:val="es-ES" w:eastAsia="es-ES"/>
        </w:rPr>
        <w:t xml:space="preserve">n el </w:t>
      </w:r>
      <w:r w:rsidR="001D6101" w:rsidRPr="00570420">
        <w:rPr>
          <w:b/>
          <w:bCs/>
          <w:color w:val="auto"/>
          <w:lang w:val="es-ES" w:eastAsia="es-ES"/>
        </w:rPr>
        <w:t>ámbito local</w:t>
      </w:r>
      <w:r w:rsidR="001D6101" w:rsidRPr="001D6101">
        <w:rPr>
          <w:color w:val="auto"/>
          <w:lang w:val="es-ES" w:eastAsia="es-ES"/>
        </w:rPr>
        <w:t>, Croacia cuenta con</w:t>
      </w:r>
      <w:r w:rsidR="00CE17C8">
        <w:rPr>
          <w:color w:val="auto"/>
          <w:lang w:val="es-ES" w:eastAsia="es-ES"/>
        </w:rPr>
        <w:t xml:space="preserve"> </w:t>
      </w:r>
      <w:r w:rsidR="00CE17C8" w:rsidRPr="00CE17C8">
        <w:rPr>
          <w:b/>
          <w:bCs/>
          <w:color w:val="auto"/>
          <w:lang w:val="es-ES" w:eastAsia="es-ES"/>
        </w:rPr>
        <w:t>alrededor de</w:t>
      </w:r>
      <w:r w:rsidR="001D6101" w:rsidRPr="00CE17C8">
        <w:rPr>
          <w:b/>
          <w:bCs/>
          <w:color w:val="auto"/>
          <w:lang w:val="es-ES" w:eastAsia="es-ES"/>
        </w:rPr>
        <w:t xml:space="preserve"> 1</w:t>
      </w:r>
      <w:r w:rsidR="001D6101" w:rsidRPr="00570420">
        <w:rPr>
          <w:b/>
          <w:bCs/>
          <w:color w:val="auto"/>
          <w:lang w:val="es-ES" w:eastAsia="es-ES"/>
        </w:rPr>
        <w:t>5</w:t>
      </w:r>
      <w:r w:rsidR="00CE17C8">
        <w:rPr>
          <w:b/>
          <w:bCs/>
          <w:color w:val="auto"/>
          <w:lang w:val="es-ES" w:eastAsia="es-ES"/>
        </w:rPr>
        <w:t>5</w:t>
      </w:r>
      <w:r w:rsidR="001D6101" w:rsidRPr="00570420">
        <w:rPr>
          <w:b/>
          <w:bCs/>
          <w:color w:val="auto"/>
          <w:lang w:val="es-ES" w:eastAsia="es-ES"/>
        </w:rPr>
        <w:t xml:space="preserve"> empresas municipales</w:t>
      </w:r>
      <w:r w:rsidR="001D6101" w:rsidRPr="001D6101">
        <w:rPr>
          <w:color w:val="auto"/>
          <w:lang w:val="es-ES" w:eastAsia="es-ES"/>
        </w:rPr>
        <w:t xml:space="preserve">, cuya labor se centra en el abastecimiento de agua y el tratamiento de aguas residuales. Además, existen compañías de servicios públicos, cuyos propietarios son las propias unidades de gobierno local. En un esfuerzo por optimizar y mejorar la eficiencia en la prestación de estos servicios, uno de los principales objetivos del país es </w:t>
      </w:r>
      <w:r w:rsidR="001D6101" w:rsidRPr="007A54D4">
        <w:rPr>
          <w:color w:val="auto"/>
          <w:u w:val="single"/>
          <w:lang w:val="es-ES" w:eastAsia="es-ES"/>
        </w:rPr>
        <w:t>reducir el número de estas compañías municipales</w:t>
      </w:r>
      <w:r w:rsidR="001D6101" w:rsidRPr="001D6101">
        <w:rPr>
          <w:color w:val="auto"/>
          <w:lang w:val="es-ES" w:eastAsia="es-ES"/>
        </w:rPr>
        <w:t xml:space="preserve"> para impulsar e incrementar la eficiencia en la administración de los recursos hídricos.</w:t>
      </w:r>
    </w:p>
    <w:p w14:paraId="5E37E556" w14:textId="0949BC95" w:rsidR="00FD0EDD" w:rsidRDefault="000412D6" w:rsidP="00AA76D1">
      <w:pPr>
        <w:rPr>
          <w:color w:val="auto"/>
          <w:lang w:val="es-ES" w:eastAsia="es-ES"/>
        </w:rPr>
      </w:pPr>
      <w:r w:rsidRPr="000412D6">
        <w:rPr>
          <w:color w:val="auto"/>
          <w:lang w:val="es-ES" w:eastAsia="es-ES"/>
        </w:rPr>
        <w:lastRenderedPageBreak/>
        <w:t xml:space="preserve">La </w:t>
      </w:r>
      <w:r w:rsidRPr="00C26D94">
        <w:rPr>
          <w:b/>
          <w:bCs/>
          <w:color w:val="auto"/>
          <w:lang w:val="es-ES" w:eastAsia="es-ES"/>
        </w:rPr>
        <w:t>figura n.º 1</w:t>
      </w:r>
      <w:r w:rsidRPr="000412D6">
        <w:rPr>
          <w:color w:val="auto"/>
          <w:lang w:val="es-ES" w:eastAsia="es-ES"/>
        </w:rPr>
        <w:t xml:space="preserve"> que se presenta a continuación ilustra la </w:t>
      </w:r>
      <w:r w:rsidRPr="00C26D94">
        <w:rPr>
          <w:b/>
          <w:bCs/>
          <w:color w:val="auto"/>
          <w:lang w:val="es-ES" w:eastAsia="es-ES"/>
        </w:rPr>
        <w:t>estructura organizativa del sector</w:t>
      </w:r>
      <w:r w:rsidRPr="000412D6">
        <w:rPr>
          <w:color w:val="auto"/>
          <w:lang w:val="es-ES" w:eastAsia="es-ES"/>
        </w:rPr>
        <w:t xml:space="preserve"> del agua en Croacia, destacando los diversos niveles de responsabilidad y las funciones correspondientes que cada uno desempeña.</w:t>
      </w:r>
    </w:p>
    <w:p w14:paraId="413F6E6E" w14:textId="362A422F" w:rsidR="004C4ABB" w:rsidRPr="00837305" w:rsidRDefault="004C4ABB" w:rsidP="00837305">
      <w:pPr>
        <w:rPr>
          <w:color w:val="auto"/>
          <w:lang w:val="es-ES" w:eastAsia="es-ES"/>
        </w:rPr>
      </w:pPr>
      <w:r>
        <w:rPr>
          <w:rFonts w:ascii="Arial" w:eastAsia="Arial" w:hAnsi="Arial" w:cs="Arial"/>
          <w:b/>
          <w:bCs/>
          <w:caps/>
          <w:color w:val="9D9A9D"/>
          <w:szCs w:val="22"/>
          <w:lang w:val="es-ES"/>
        </w:rPr>
        <w:t xml:space="preserve">FIGURA </w:t>
      </w:r>
      <w:r w:rsidR="007E7A1E">
        <w:rPr>
          <w:rFonts w:ascii="Arial" w:eastAsia="Arial" w:hAnsi="Arial" w:cs="Arial"/>
          <w:b/>
          <w:bCs/>
          <w:caps/>
          <w:color w:val="9D9A9D"/>
          <w:szCs w:val="22"/>
          <w:lang w:val="es-ES"/>
        </w:rPr>
        <w:t>1</w:t>
      </w:r>
      <w:r>
        <w:rPr>
          <w:rFonts w:ascii="Arial" w:eastAsia="Arial" w:hAnsi="Arial" w:cs="Arial"/>
          <w:b/>
          <w:bCs/>
          <w:caps/>
          <w:color w:val="9D9A9D"/>
          <w:szCs w:val="22"/>
          <w:lang w:val="es-ES"/>
        </w:rPr>
        <w:t>: orga</w:t>
      </w:r>
      <w:r w:rsidR="00F54D87">
        <w:rPr>
          <w:rFonts w:ascii="Arial" w:eastAsia="Arial" w:hAnsi="Arial" w:cs="Arial"/>
          <w:b/>
          <w:bCs/>
          <w:caps/>
          <w:color w:val="9D9A9D"/>
          <w:szCs w:val="22"/>
          <w:lang w:val="es-ES"/>
        </w:rPr>
        <w:t>nigrama</w:t>
      </w:r>
      <w:r>
        <w:rPr>
          <w:rFonts w:ascii="Arial" w:eastAsia="Arial" w:hAnsi="Arial" w:cs="Arial"/>
          <w:b/>
          <w:bCs/>
          <w:caps/>
          <w:color w:val="9D9A9D"/>
          <w:szCs w:val="22"/>
          <w:lang w:val="es-ES"/>
        </w:rPr>
        <w:t xml:space="preserve"> del sector del agua en CROACIA</w:t>
      </w:r>
    </w:p>
    <w:p w14:paraId="397C56BD" w14:textId="45EC12CE" w:rsidR="004C4ABB" w:rsidRDefault="00B100D9" w:rsidP="00AE41F1">
      <w:pPr>
        <w:spacing w:after="0"/>
        <w:jc w:val="left"/>
        <w:rPr>
          <w:lang w:val="es-ES" w:eastAsia="es-ES"/>
        </w:rPr>
      </w:pPr>
      <w:r>
        <w:rPr>
          <w:noProof/>
        </w:rPr>
        <w:drawing>
          <wp:inline distT="0" distB="0" distL="0" distR="0" wp14:anchorId="0C9A3FE8" wp14:editId="010BB7F8">
            <wp:extent cx="5093139" cy="2628000"/>
            <wp:effectExtent l="0" t="0" r="0" b="1270"/>
            <wp:docPr id="1"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93139" cy="2628000"/>
                    </a:xfrm>
                    <a:prstGeom prst="rect">
                      <a:avLst/>
                    </a:prstGeom>
                  </pic:spPr>
                </pic:pic>
              </a:graphicData>
            </a:graphic>
          </wp:inline>
        </w:drawing>
      </w:r>
    </w:p>
    <w:p w14:paraId="22848ECA" w14:textId="428D1711" w:rsidR="00B100D9" w:rsidRPr="001D42AD" w:rsidRDefault="00B100D9" w:rsidP="00570EAD">
      <w:pPr>
        <w:jc w:val="left"/>
        <w:rPr>
          <w:color w:val="9D9A9D" w:themeColor="accent5"/>
          <w:sz w:val="18"/>
          <w:szCs w:val="18"/>
          <w:lang w:val="es-ES"/>
        </w:rPr>
      </w:pPr>
      <w:r w:rsidRPr="001D42AD">
        <w:rPr>
          <w:color w:val="9D9A9D" w:themeColor="accent5"/>
          <w:sz w:val="18"/>
          <w:szCs w:val="18"/>
          <w:lang w:val="es-ES"/>
        </w:rPr>
        <w:t xml:space="preserve">Fuente: Elaboración propia a partir de datos de </w:t>
      </w:r>
      <w:r w:rsidRPr="001D42AD">
        <w:rPr>
          <w:i/>
          <w:iCs/>
          <w:color w:val="9D9A9D" w:themeColor="accent5"/>
          <w:sz w:val="18"/>
          <w:szCs w:val="18"/>
          <w:lang w:val="es-ES"/>
        </w:rPr>
        <w:t>Croatia Country Note 2015</w:t>
      </w:r>
      <w:r w:rsidRPr="001D42AD">
        <w:rPr>
          <w:color w:val="9D9A9D" w:themeColor="accent5"/>
          <w:sz w:val="18"/>
          <w:szCs w:val="18"/>
          <w:lang w:val="es-ES"/>
        </w:rPr>
        <w:t xml:space="preserve">; </w:t>
      </w:r>
      <w:r w:rsidRPr="001D42AD">
        <w:rPr>
          <w:i/>
          <w:iCs/>
          <w:color w:val="9D9A9D" w:themeColor="accent5"/>
          <w:sz w:val="18"/>
          <w:szCs w:val="18"/>
          <w:lang w:val="es-ES"/>
        </w:rPr>
        <w:t xml:space="preserve">Danube Water </w:t>
      </w:r>
      <w:r w:rsidR="007E7A1E" w:rsidRPr="001D42AD">
        <w:rPr>
          <w:i/>
          <w:iCs/>
          <w:color w:val="9D9A9D" w:themeColor="accent5"/>
          <w:sz w:val="18"/>
          <w:szCs w:val="18"/>
          <w:lang w:val="es-ES"/>
        </w:rPr>
        <w:t>P</w:t>
      </w:r>
      <w:r w:rsidRPr="001D42AD">
        <w:rPr>
          <w:i/>
          <w:iCs/>
          <w:color w:val="9D9A9D" w:themeColor="accent5"/>
          <w:sz w:val="18"/>
          <w:szCs w:val="18"/>
          <w:lang w:val="es-ES"/>
        </w:rPr>
        <w:t>rogram</w:t>
      </w:r>
      <w:r w:rsidRPr="001D42AD">
        <w:rPr>
          <w:color w:val="9D9A9D" w:themeColor="accent5"/>
          <w:sz w:val="18"/>
          <w:szCs w:val="18"/>
          <w:lang w:val="es-ES"/>
        </w:rPr>
        <w:t>.</w:t>
      </w:r>
      <w:r w:rsidR="00626023">
        <w:rPr>
          <w:rStyle w:val="Refdenotaalpie"/>
          <w:szCs w:val="18"/>
          <w:lang w:val="es-ES"/>
        </w:rPr>
        <w:footnoteReference w:id="8"/>
      </w:r>
    </w:p>
    <w:p w14:paraId="3F1BBD9E" w14:textId="2A90A373" w:rsidR="004C4ABB" w:rsidRDefault="004C4ABB" w:rsidP="00AA76D1">
      <w:pPr>
        <w:rPr>
          <w:rFonts w:ascii="Arial" w:hAnsi="Arial" w:cs="Arial"/>
          <w:color w:val="auto"/>
          <w:szCs w:val="22"/>
        </w:rPr>
      </w:pPr>
      <w:r w:rsidRPr="00DE02E3">
        <w:rPr>
          <w:rFonts w:ascii="Arial" w:hAnsi="Arial" w:cs="Arial"/>
          <w:color w:val="auto"/>
          <w:szCs w:val="22"/>
        </w:rPr>
        <w:t xml:space="preserve">Los </w:t>
      </w:r>
      <w:r w:rsidRPr="00E94617">
        <w:rPr>
          <w:rFonts w:ascii="Arial" w:hAnsi="Arial" w:cs="Arial"/>
          <w:b/>
          <w:bCs/>
          <w:color w:val="auto"/>
          <w:szCs w:val="22"/>
        </w:rPr>
        <w:t xml:space="preserve">principales actores </w:t>
      </w:r>
      <w:r w:rsidR="008D2903" w:rsidRPr="00E94617">
        <w:rPr>
          <w:rFonts w:ascii="Arial" w:hAnsi="Arial" w:cs="Arial"/>
          <w:b/>
          <w:bCs/>
          <w:color w:val="auto"/>
          <w:szCs w:val="22"/>
        </w:rPr>
        <w:t>estatale</w:t>
      </w:r>
      <w:r w:rsidRPr="00E94617">
        <w:rPr>
          <w:rFonts w:ascii="Arial" w:hAnsi="Arial" w:cs="Arial"/>
          <w:b/>
          <w:bCs/>
          <w:color w:val="auto"/>
          <w:szCs w:val="22"/>
        </w:rPr>
        <w:t>s</w:t>
      </w:r>
      <w:r w:rsidRPr="00DE02E3">
        <w:rPr>
          <w:rFonts w:ascii="Arial" w:hAnsi="Arial" w:cs="Arial"/>
          <w:color w:val="auto"/>
          <w:szCs w:val="22"/>
        </w:rPr>
        <w:t xml:space="preserve"> dentro del sector son los siguientes:</w:t>
      </w:r>
    </w:p>
    <w:p w14:paraId="60A89B91" w14:textId="235297B6" w:rsidR="009F0E7B" w:rsidRDefault="009F0E7B" w:rsidP="00AA76D1">
      <w:pPr>
        <w:pStyle w:val="Prrafodelista"/>
        <w:numPr>
          <w:ilvl w:val="0"/>
          <w:numId w:val="5"/>
        </w:numPr>
        <w:rPr>
          <w:rFonts w:ascii="Arial" w:hAnsi="Arial" w:cs="Arial"/>
          <w:color w:val="auto"/>
          <w:szCs w:val="22"/>
        </w:rPr>
      </w:pPr>
      <w:r w:rsidRPr="00294341">
        <w:rPr>
          <w:rFonts w:ascii="Arial" w:hAnsi="Arial" w:cs="Arial"/>
          <w:color w:val="auto"/>
          <w:szCs w:val="22"/>
        </w:rPr>
        <w:t>Consejo Regulador de Agua</w:t>
      </w:r>
      <w:r w:rsidRPr="00CC19A1">
        <w:rPr>
          <w:rFonts w:ascii="Arial" w:hAnsi="Arial" w:cs="Arial"/>
          <w:color w:val="auto"/>
          <w:szCs w:val="22"/>
        </w:rPr>
        <w:t xml:space="preserve">: </w:t>
      </w:r>
      <w:r w:rsidR="009E17DA">
        <w:rPr>
          <w:rFonts w:ascii="Arial" w:hAnsi="Arial" w:cs="Arial"/>
          <w:color w:val="auto"/>
          <w:szCs w:val="22"/>
        </w:rPr>
        <w:t>F</w:t>
      </w:r>
      <w:r w:rsidR="009E17DA" w:rsidRPr="009E17DA">
        <w:rPr>
          <w:rFonts w:ascii="Arial" w:hAnsi="Arial" w:cs="Arial"/>
          <w:color w:val="auto"/>
          <w:szCs w:val="22"/>
        </w:rPr>
        <w:t xml:space="preserve">ue establecido en 2010 de acuerdo con </w:t>
      </w:r>
      <w:r w:rsidR="009E17DA">
        <w:rPr>
          <w:rFonts w:ascii="Arial" w:hAnsi="Arial" w:cs="Arial"/>
          <w:color w:val="auto"/>
          <w:szCs w:val="22"/>
        </w:rPr>
        <w:t>la Ley del Agua</w:t>
      </w:r>
      <w:r w:rsidR="009E17DA" w:rsidRPr="009E17DA">
        <w:rPr>
          <w:rFonts w:ascii="Arial" w:hAnsi="Arial" w:cs="Arial"/>
          <w:color w:val="auto"/>
          <w:szCs w:val="22"/>
        </w:rPr>
        <w:t>. Es responsable de la regulación económica y de la calidad del servicio en este sector. El consejo se compone de nueve miembros que son seleccionados por el Gobierno y designados por el Parlamento para términos de cinco años. Estos miembros son expertos en diversos campos, incluyendo la gestión y abastecimiento del agua, economía, y finanzas.</w:t>
      </w:r>
    </w:p>
    <w:p w14:paraId="1415464A" w14:textId="77777777" w:rsidR="009F0E7B" w:rsidRPr="009F0E7B" w:rsidRDefault="009F0E7B" w:rsidP="00AA76D1">
      <w:pPr>
        <w:pStyle w:val="Prrafodelista"/>
        <w:numPr>
          <w:ilvl w:val="0"/>
          <w:numId w:val="0"/>
        </w:numPr>
        <w:ind w:left="720"/>
        <w:rPr>
          <w:rFonts w:ascii="Arial" w:hAnsi="Arial" w:cs="Arial"/>
          <w:color w:val="auto"/>
          <w:szCs w:val="22"/>
        </w:rPr>
      </w:pPr>
    </w:p>
    <w:p w14:paraId="3B9ADF0F" w14:textId="5E430979" w:rsidR="009F0E7B" w:rsidRPr="009F0E7B" w:rsidRDefault="004C4ABB" w:rsidP="00AA76D1">
      <w:pPr>
        <w:pStyle w:val="Prrafodelista"/>
        <w:numPr>
          <w:ilvl w:val="0"/>
          <w:numId w:val="5"/>
        </w:numPr>
        <w:rPr>
          <w:rFonts w:ascii="Arial" w:hAnsi="Arial" w:cs="Arial"/>
          <w:color w:val="auto"/>
          <w:szCs w:val="22"/>
        </w:rPr>
      </w:pPr>
      <w:r w:rsidRPr="00294341">
        <w:rPr>
          <w:rFonts w:ascii="Arial" w:hAnsi="Arial" w:cs="Arial"/>
          <w:color w:val="auto"/>
          <w:szCs w:val="22"/>
        </w:rPr>
        <w:t>Consejo Nacional de Agua</w:t>
      </w:r>
      <w:r w:rsidRPr="00CC19A1">
        <w:rPr>
          <w:rFonts w:ascii="Arial" w:hAnsi="Arial" w:cs="Arial"/>
          <w:color w:val="auto"/>
          <w:szCs w:val="22"/>
        </w:rPr>
        <w:t>:</w:t>
      </w:r>
      <w:r w:rsidRPr="00DE02E3">
        <w:rPr>
          <w:rFonts w:ascii="Arial" w:hAnsi="Arial" w:cs="Arial"/>
          <w:color w:val="auto"/>
          <w:szCs w:val="22"/>
        </w:rPr>
        <w:t xml:space="preserve"> </w:t>
      </w:r>
      <w:r w:rsidR="00CC19A1" w:rsidRPr="00CC19A1">
        <w:rPr>
          <w:rFonts w:ascii="Arial" w:hAnsi="Arial" w:cs="Arial"/>
          <w:color w:val="auto"/>
          <w:szCs w:val="22"/>
        </w:rPr>
        <w:t>Compuesto por diez miembros, este consejo representa a diversos sectores profesionales que son responsables de formular políticas de agua. Los miembros son nombrados por el Parlamento y sirven por un período de cuatro años.</w:t>
      </w:r>
    </w:p>
    <w:p w14:paraId="0782AFB1" w14:textId="77777777" w:rsidR="009F0E7B" w:rsidRPr="009F0E7B" w:rsidRDefault="009F0E7B" w:rsidP="00AA76D1">
      <w:pPr>
        <w:pStyle w:val="Prrafodelista"/>
        <w:numPr>
          <w:ilvl w:val="0"/>
          <w:numId w:val="0"/>
        </w:numPr>
        <w:ind w:left="720"/>
        <w:rPr>
          <w:rFonts w:ascii="Arial" w:hAnsi="Arial" w:cs="Arial"/>
          <w:color w:val="auto"/>
          <w:szCs w:val="22"/>
        </w:rPr>
      </w:pPr>
    </w:p>
    <w:p w14:paraId="7AF6C41E" w14:textId="491BA84C" w:rsidR="009F0E7B" w:rsidRPr="009F0E7B" w:rsidRDefault="004C4ABB" w:rsidP="00AA76D1">
      <w:pPr>
        <w:pStyle w:val="Prrafodelista"/>
        <w:numPr>
          <w:ilvl w:val="0"/>
          <w:numId w:val="5"/>
        </w:numPr>
        <w:rPr>
          <w:rFonts w:ascii="Arial" w:hAnsi="Arial" w:cs="Arial"/>
          <w:color w:val="auto"/>
          <w:szCs w:val="22"/>
        </w:rPr>
      </w:pPr>
      <w:r w:rsidRPr="00294341">
        <w:rPr>
          <w:rFonts w:ascii="Arial" w:hAnsi="Arial" w:cs="Arial"/>
          <w:color w:val="auto"/>
          <w:szCs w:val="22"/>
        </w:rPr>
        <w:t xml:space="preserve">Ministerio de </w:t>
      </w:r>
      <w:r w:rsidR="0099636A" w:rsidRPr="00294341">
        <w:rPr>
          <w:rFonts w:ascii="Arial" w:hAnsi="Arial" w:cs="Arial"/>
          <w:color w:val="auto"/>
          <w:szCs w:val="22"/>
        </w:rPr>
        <w:t>Economía y Desarrollo Sostenible</w:t>
      </w:r>
      <w:r w:rsidR="00935E8A">
        <w:rPr>
          <w:rFonts w:ascii="Arial" w:hAnsi="Arial" w:cs="Arial"/>
          <w:color w:val="auto"/>
          <w:szCs w:val="22"/>
        </w:rPr>
        <w:t xml:space="preserve">: </w:t>
      </w:r>
      <w:r w:rsidR="00CC19A1" w:rsidRPr="00CC19A1">
        <w:rPr>
          <w:rFonts w:ascii="Arial" w:hAnsi="Arial" w:cs="Arial"/>
          <w:color w:val="auto"/>
          <w:szCs w:val="22"/>
        </w:rPr>
        <w:t xml:space="preserve">Este ministerio </w:t>
      </w:r>
      <w:r w:rsidR="00334604">
        <w:rPr>
          <w:rFonts w:ascii="Arial" w:hAnsi="Arial" w:cs="Arial"/>
          <w:color w:val="auto"/>
          <w:szCs w:val="22"/>
        </w:rPr>
        <w:t xml:space="preserve">desempeña </w:t>
      </w:r>
      <w:r w:rsidR="00334604" w:rsidRPr="00334604">
        <w:rPr>
          <w:rFonts w:ascii="Arial" w:hAnsi="Arial" w:cs="Arial"/>
          <w:color w:val="auto"/>
          <w:szCs w:val="22"/>
        </w:rPr>
        <w:t>un papel clave en el manejo sostenible de los recursos hídricos del país. Además de gestionar políticas hídricas y servicios relacionados, también se encarga de aspectos medioambientales y energéticos que directamente impactan la gestión y calidad del agua.</w:t>
      </w:r>
    </w:p>
    <w:p w14:paraId="7725A9FA" w14:textId="77777777" w:rsidR="009F0E7B" w:rsidRPr="009F0E7B" w:rsidRDefault="009F0E7B" w:rsidP="00AA76D1">
      <w:pPr>
        <w:pStyle w:val="Prrafodelista"/>
        <w:numPr>
          <w:ilvl w:val="0"/>
          <w:numId w:val="0"/>
        </w:numPr>
        <w:ind w:left="720"/>
        <w:rPr>
          <w:rFonts w:ascii="Arial" w:hAnsi="Arial" w:cs="Arial"/>
          <w:color w:val="auto"/>
          <w:szCs w:val="22"/>
        </w:rPr>
      </w:pPr>
    </w:p>
    <w:p w14:paraId="69CB6118" w14:textId="731FA160" w:rsidR="004C4ABB" w:rsidRDefault="004C4ABB" w:rsidP="00AA76D1">
      <w:pPr>
        <w:pStyle w:val="Prrafodelista"/>
        <w:numPr>
          <w:ilvl w:val="0"/>
          <w:numId w:val="5"/>
        </w:numPr>
        <w:rPr>
          <w:rFonts w:ascii="Arial" w:hAnsi="Arial" w:cs="Arial"/>
          <w:color w:val="auto"/>
          <w:szCs w:val="22"/>
        </w:rPr>
      </w:pPr>
      <w:r w:rsidRPr="00294341">
        <w:rPr>
          <w:rFonts w:ascii="Arial" w:hAnsi="Arial" w:cs="Arial"/>
          <w:color w:val="auto"/>
          <w:szCs w:val="22"/>
        </w:rPr>
        <w:lastRenderedPageBreak/>
        <w:t>Hrvatske Vode</w:t>
      </w:r>
      <w:r w:rsidRPr="00CC19A1">
        <w:rPr>
          <w:rFonts w:ascii="Arial" w:hAnsi="Arial" w:cs="Arial"/>
          <w:color w:val="auto"/>
          <w:szCs w:val="22"/>
        </w:rPr>
        <w:t xml:space="preserve">: </w:t>
      </w:r>
      <w:r w:rsidR="00303AEE">
        <w:rPr>
          <w:rFonts w:ascii="Arial" w:hAnsi="Arial" w:cs="Arial"/>
          <w:color w:val="auto"/>
          <w:szCs w:val="22"/>
        </w:rPr>
        <w:t>L</w:t>
      </w:r>
      <w:r w:rsidR="00CC19A1" w:rsidRPr="00CC19A1">
        <w:rPr>
          <w:rFonts w:ascii="Arial" w:hAnsi="Arial" w:cs="Arial"/>
          <w:color w:val="auto"/>
          <w:szCs w:val="22"/>
        </w:rPr>
        <w:t>a agencia nacional encargada de la gestión de las aguas. Dada la variedad de sus funciones, se explicarán</w:t>
      </w:r>
      <w:r w:rsidR="00901221">
        <w:rPr>
          <w:rFonts w:ascii="Arial" w:hAnsi="Arial" w:cs="Arial"/>
          <w:color w:val="auto"/>
          <w:szCs w:val="22"/>
        </w:rPr>
        <w:t xml:space="preserve"> a continuación</w:t>
      </w:r>
      <w:r w:rsidR="00CC19A1" w:rsidRPr="00CC19A1">
        <w:rPr>
          <w:rFonts w:ascii="Arial" w:hAnsi="Arial" w:cs="Arial"/>
          <w:color w:val="auto"/>
          <w:szCs w:val="22"/>
        </w:rPr>
        <w:t xml:space="preserve"> de manera separada.</w:t>
      </w:r>
    </w:p>
    <w:p w14:paraId="7EFDE833" w14:textId="77777777" w:rsidR="009F0E7B" w:rsidRPr="009F0E7B" w:rsidRDefault="009F0E7B" w:rsidP="00AA76D1">
      <w:pPr>
        <w:pStyle w:val="Prrafodelista"/>
        <w:numPr>
          <w:ilvl w:val="0"/>
          <w:numId w:val="0"/>
        </w:numPr>
        <w:ind w:left="720"/>
        <w:rPr>
          <w:rFonts w:ascii="Arial" w:hAnsi="Arial" w:cs="Arial"/>
          <w:color w:val="auto"/>
          <w:szCs w:val="22"/>
        </w:rPr>
      </w:pPr>
    </w:p>
    <w:p w14:paraId="3A58C8A9" w14:textId="216740DE" w:rsidR="004C4ABB" w:rsidRPr="00DE02E3" w:rsidRDefault="004C4ABB" w:rsidP="00AA76D1">
      <w:pPr>
        <w:pStyle w:val="Prrafodelista"/>
        <w:numPr>
          <w:ilvl w:val="0"/>
          <w:numId w:val="5"/>
        </w:numPr>
        <w:rPr>
          <w:rFonts w:ascii="Arial" w:hAnsi="Arial" w:cs="Arial"/>
          <w:color w:val="auto"/>
          <w:szCs w:val="22"/>
        </w:rPr>
      </w:pPr>
      <w:r w:rsidRPr="00294341">
        <w:rPr>
          <w:rFonts w:ascii="Arial" w:hAnsi="Arial" w:cs="Arial"/>
          <w:color w:val="auto"/>
          <w:szCs w:val="22"/>
        </w:rPr>
        <w:t>Instituto Nacional de Salud Pública:</w:t>
      </w:r>
      <w:r w:rsidR="00AD693C">
        <w:rPr>
          <w:rFonts w:ascii="Arial" w:hAnsi="Arial" w:cs="Arial"/>
          <w:color w:val="auto"/>
          <w:szCs w:val="22"/>
        </w:rPr>
        <w:t xml:space="preserve"> </w:t>
      </w:r>
      <w:r w:rsidR="00AD693C" w:rsidRPr="00AD693C">
        <w:rPr>
          <w:rFonts w:ascii="Arial" w:hAnsi="Arial" w:cs="Arial"/>
          <w:color w:val="auto"/>
          <w:szCs w:val="22"/>
        </w:rPr>
        <w:t xml:space="preserve">Fundado en 1893, este organismo </w:t>
      </w:r>
      <w:r w:rsidR="00AD693C">
        <w:rPr>
          <w:rFonts w:ascii="Arial" w:hAnsi="Arial" w:cs="Arial"/>
          <w:color w:val="auto"/>
          <w:szCs w:val="22"/>
        </w:rPr>
        <w:t>es</w:t>
      </w:r>
      <w:r w:rsidR="00AD693C" w:rsidRPr="00AD693C">
        <w:rPr>
          <w:rFonts w:ascii="Arial" w:hAnsi="Arial" w:cs="Arial"/>
          <w:color w:val="auto"/>
          <w:szCs w:val="22"/>
        </w:rPr>
        <w:t xml:space="preserve"> la principal institución de salud pública del país.</w:t>
      </w:r>
      <w:r w:rsidR="00AD693C">
        <w:rPr>
          <w:rFonts w:ascii="Arial" w:hAnsi="Arial" w:cs="Arial"/>
          <w:color w:val="auto"/>
          <w:szCs w:val="22"/>
        </w:rPr>
        <w:t xml:space="preserve"> </w:t>
      </w:r>
      <w:r w:rsidR="00AD693C" w:rsidRPr="00AD693C">
        <w:rPr>
          <w:rFonts w:ascii="Arial" w:hAnsi="Arial" w:cs="Arial"/>
          <w:color w:val="auto"/>
          <w:szCs w:val="22"/>
        </w:rPr>
        <w:t>Una de sus responsabilidades más importantes es supervisar y garantizar la calidad del agua potable.</w:t>
      </w:r>
    </w:p>
    <w:p w14:paraId="2FF6977D" w14:textId="45B7D087" w:rsidR="00E94617" w:rsidRPr="00E94617" w:rsidRDefault="00E94617" w:rsidP="00AA76D1">
      <w:pPr>
        <w:rPr>
          <w:rFonts w:ascii="Arial" w:hAnsi="Arial" w:cs="Arial"/>
          <w:color w:val="auto"/>
          <w:szCs w:val="22"/>
        </w:rPr>
      </w:pPr>
      <w:r w:rsidRPr="00E94617">
        <w:rPr>
          <w:rFonts w:ascii="Arial" w:hAnsi="Arial" w:cs="Arial"/>
          <w:color w:val="auto"/>
          <w:szCs w:val="22"/>
        </w:rPr>
        <w:t xml:space="preserve">La agencia estatal de gestión de aguas, </w:t>
      </w:r>
      <w:r w:rsidRPr="00E94617">
        <w:rPr>
          <w:rFonts w:ascii="Arial" w:hAnsi="Arial" w:cs="Arial"/>
          <w:b/>
          <w:bCs/>
          <w:color w:val="auto"/>
          <w:szCs w:val="22"/>
        </w:rPr>
        <w:t>Hrvatske Vode</w:t>
      </w:r>
      <w:r w:rsidRPr="00E94617">
        <w:rPr>
          <w:rFonts w:ascii="Arial" w:hAnsi="Arial" w:cs="Arial"/>
          <w:color w:val="auto"/>
          <w:szCs w:val="22"/>
        </w:rPr>
        <w:t xml:space="preserve">, merece una mención especial. Fundada por la República de Croacia y establecida por la Ley del Agua, desempeña un </w:t>
      </w:r>
      <w:r w:rsidRPr="00E94617">
        <w:rPr>
          <w:rFonts w:ascii="Arial" w:hAnsi="Arial" w:cs="Arial"/>
          <w:b/>
          <w:bCs/>
          <w:color w:val="auto"/>
          <w:szCs w:val="22"/>
        </w:rPr>
        <w:t>papel crucial</w:t>
      </w:r>
      <w:r w:rsidRPr="00E94617">
        <w:rPr>
          <w:rFonts w:ascii="Arial" w:hAnsi="Arial" w:cs="Arial"/>
          <w:color w:val="auto"/>
          <w:szCs w:val="22"/>
        </w:rPr>
        <w:t xml:space="preserve"> en la infraestructura hídrica del país.</w:t>
      </w:r>
    </w:p>
    <w:p w14:paraId="2C84F272" w14:textId="2916C78D" w:rsidR="00E94617" w:rsidRDefault="00E94617" w:rsidP="00AA76D1">
      <w:pPr>
        <w:rPr>
          <w:rFonts w:ascii="Arial" w:hAnsi="Arial" w:cs="Arial"/>
          <w:color w:val="auto"/>
          <w:szCs w:val="22"/>
        </w:rPr>
      </w:pPr>
      <w:r w:rsidRPr="00E94617">
        <w:rPr>
          <w:rFonts w:ascii="Arial" w:hAnsi="Arial" w:cs="Arial"/>
          <w:color w:val="auto"/>
          <w:szCs w:val="22"/>
        </w:rPr>
        <w:t xml:space="preserve">Hrvatske Vode opera en todo el país a través de </w:t>
      </w:r>
      <w:r w:rsidR="007616C4">
        <w:rPr>
          <w:rFonts w:ascii="Arial" w:hAnsi="Arial" w:cs="Arial"/>
          <w:b/>
          <w:bCs/>
          <w:color w:val="auto"/>
          <w:szCs w:val="22"/>
        </w:rPr>
        <w:t>siete</w:t>
      </w:r>
      <w:r w:rsidRPr="00E94617">
        <w:rPr>
          <w:rFonts w:ascii="Arial" w:hAnsi="Arial" w:cs="Arial"/>
          <w:b/>
          <w:bCs/>
          <w:color w:val="auto"/>
          <w:szCs w:val="22"/>
        </w:rPr>
        <w:t xml:space="preserve"> oficinas principales</w:t>
      </w:r>
      <w:r w:rsidR="007616C4">
        <w:rPr>
          <w:rFonts w:ascii="Arial" w:hAnsi="Arial" w:cs="Arial"/>
          <w:color w:val="auto"/>
          <w:szCs w:val="22"/>
        </w:rPr>
        <w:t xml:space="preserve"> situadas en las ciudades de Zagreb, Split, Rijeka, Slavonski Brod, Osijek y </w:t>
      </w:r>
      <w:r w:rsidR="007616C4" w:rsidRPr="007616C4">
        <w:rPr>
          <w:rFonts w:ascii="Arial" w:hAnsi="Arial" w:cs="Arial"/>
          <w:color w:val="auto"/>
          <w:szCs w:val="22"/>
        </w:rPr>
        <w:t>Varaždin</w:t>
      </w:r>
      <w:r w:rsidRPr="00E94617">
        <w:rPr>
          <w:rFonts w:ascii="Arial" w:hAnsi="Arial" w:cs="Arial"/>
          <w:color w:val="auto"/>
          <w:szCs w:val="22"/>
        </w:rPr>
        <w:t>. Su labor incluye el control de la extracción de agua, la recaudación de las cuotas correspondientes y la reinversión de las ganancias en distintos sectores de inversión. Además, tiene a su cargo la política de protección contra inundaciones, contribuyendo de manera significativa a mantener la sólida calidad del servicio de agua en Croacia.</w:t>
      </w:r>
    </w:p>
    <w:p w14:paraId="31FFA81D" w14:textId="1D90ECDB" w:rsidR="00901221" w:rsidRPr="00DE02E3" w:rsidRDefault="00400A17" w:rsidP="00AA76D1">
      <w:pPr>
        <w:rPr>
          <w:rFonts w:ascii="Arial" w:hAnsi="Arial" w:cs="Arial"/>
          <w:color w:val="auto"/>
          <w:szCs w:val="22"/>
        </w:rPr>
      </w:pPr>
      <w:r>
        <w:rPr>
          <w:rFonts w:ascii="Arial" w:hAnsi="Arial" w:cs="Arial"/>
          <w:color w:val="auto"/>
          <w:szCs w:val="22"/>
        </w:rPr>
        <w:t>Asimismo, l</w:t>
      </w:r>
      <w:r w:rsidR="00901221" w:rsidRPr="00901221">
        <w:rPr>
          <w:rFonts w:ascii="Arial" w:hAnsi="Arial" w:cs="Arial"/>
          <w:color w:val="auto"/>
          <w:szCs w:val="22"/>
        </w:rPr>
        <w:t xml:space="preserve">a organización de esta compañía </w:t>
      </w:r>
      <w:r w:rsidRPr="00400A17">
        <w:rPr>
          <w:rFonts w:ascii="Arial" w:hAnsi="Arial" w:cs="Arial"/>
          <w:color w:val="auto"/>
          <w:szCs w:val="22"/>
        </w:rPr>
        <w:t xml:space="preserve">se rige por </w:t>
      </w:r>
      <w:r w:rsidRPr="00FD020D">
        <w:rPr>
          <w:rFonts w:ascii="Arial" w:hAnsi="Arial" w:cs="Arial"/>
          <w:b/>
          <w:bCs/>
          <w:color w:val="auto"/>
          <w:szCs w:val="22"/>
        </w:rPr>
        <w:t>dos p</w:t>
      </w:r>
      <w:r w:rsidR="005D4CE5" w:rsidRPr="00FD020D">
        <w:rPr>
          <w:rFonts w:ascii="Arial" w:hAnsi="Arial" w:cs="Arial"/>
          <w:b/>
          <w:bCs/>
          <w:color w:val="auto"/>
          <w:szCs w:val="22"/>
        </w:rPr>
        <w:t>rincipios</w:t>
      </w:r>
      <w:r w:rsidRPr="00400A17">
        <w:rPr>
          <w:rFonts w:ascii="Arial" w:hAnsi="Arial" w:cs="Arial"/>
          <w:color w:val="auto"/>
          <w:szCs w:val="22"/>
        </w:rPr>
        <w:t>: la integridad en la gestión del agua y el desarrollo sostenible. Sus acciones se enfocan en preservar y mejorar el sistema hídrico de un área específica, satisfaciendo las necesidades actuales sin amenazar las posibilidades de las futuras generaciones.</w:t>
      </w:r>
    </w:p>
    <w:p w14:paraId="7ACA5551" w14:textId="6957BF27" w:rsidR="004C4ABB" w:rsidRPr="00DE02E3" w:rsidRDefault="00E94617" w:rsidP="00AA76D1">
      <w:pPr>
        <w:rPr>
          <w:rFonts w:ascii="Arial" w:hAnsi="Arial" w:cs="Arial"/>
          <w:color w:val="auto"/>
          <w:szCs w:val="22"/>
        </w:rPr>
      </w:pPr>
      <w:r w:rsidRPr="00E94617">
        <w:rPr>
          <w:rFonts w:ascii="Arial" w:hAnsi="Arial" w:cs="Arial"/>
          <w:color w:val="auto"/>
          <w:szCs w:val="22"/>
        </w:rPr>
        <w:t xml:space="preserve">La compañía Hrvatske Vode se encarga de una amplia gama de </w:t>
      </w:r>
      <w:r w:rsidRPr="00935E8A">
        <w:rPr>
          <w:rFonts w:ascii="Arial" w:hAnsi="Arial" w:cs="Arial"/>
          <w:b/>
          <w:bCs/>
          <w:color w:val="auto"/>
          <w:szCs w:val="22"/>
        </w:rPr>
        <w:t>actividades esenciales</w:t>
      </w:r>
      <w:r w:rsidRPr="00E94617">
        <w:rPr>
          <w:rFonts w:ascii="Arial" w:hAnsi="Arial" w:cs="Arial"/>
          <w:color w:val="auto"/>
          <w:szCs w:val="22"/>
        </w:rPr>
        <w:t xml:space="preserve"> en el sector hídrico, entre las que se incluyen:</w:t>
      </w:r>
    </w:p>
    <w:p w14:paraId="3F38000F" w14:textId="2CC76D7A" w:rsidR="004C4ABB" w:rsidRPr="00DE02E3" w:rsidRDefault="00E0230D" w:rsidP="00AA76D1">
      <w:pPr>
        <w:pStyle w:val="Prrafodelista"/>
        <w:numPr>
          <w:ilvl w:val="0"/>
          <w:numId w:val="6"/>
        </w:numPr>
        <w:rPr>
          <w:rFonts w:ascii="Arial" w:hAnsi="Arial" w:cs="Arial"/>
          <w:color w:val="auto"/>
          <w:szCs w:val="22"/>
        </w:rPr>
      </w:pPr>
      <w:r w:rsidRPr="00E0230D">
        <w:rPr>
          <w:rFonts w:ascii="Arial" w:hAnsi="Arial" w:cs="Arial"/>
          <w:color w:val="auto"/>
          <w:szCs w:val="22"/>
        </w:rPr>
        <w:t>Desarrollo y mantenimiento de documentación precisa y actualizada para la gestión del agua, que incluye la elaboración de planes y el registro constante del uso del agua.</w:t>
      </w:r>
    </w:p>
    <w:p w14:paraId="62670E32" w14:textId="621DB112" w:rsidR="004C4ABB" w:rsidRPr="00DE02E3" w:rsidRDefault="00AD693C" w:rsidP="00AA76D1">
      <w:pPr>
        <w:pStyle w:val="Prrafodelista"/>
        <w:numPr>
          <w:ilvl w:val="0"/>
          <w:numId w:val="6"/>
        </w:numPr>
        <w:rPr>
          <w:rFonts w:ascii="Arial" w:hAnsi="Arial" w:cs="Arial"/>
          <w:color w:val="auto"/>
          <w:szCs w:val="22"/>
        </w:rPr>
      </w:pPr>
      <w:r w:rsidRPr="00AD693C">
        <w:rPr>
          <w:rFonts w:ascii="Arial" w:hAnsi="Arial" w:cs="Arial"/>
          <w:color w:val="auto"/>
          <w:szCs w:val="22"/>
        </w:rPr>
        <w:t>Regulación del agua y protección contra los efectos nocivos del agua, garantizando la seguridad y bienestar de las comunidades a las que sirve.</w:t>
      </w:r>
    </w:p>
    <w:p w14:paraId="269890B2" w14:textId="33386453" w:rsidR="004C4ABB" w:rsidRPr="00DE02E3" w:rsidRDefault="00AD693C" w:rsidP="00AA76D1">
      <w:pPr>
        <w:pStyle w:val="Prrafodelista"/>
        <w:numPr>
          <w:ilvl w:val="0"/>
          <w:numId w:val="6"/>
        </w:numPr>
        <w:rPr>
          <w:rFonts w:ascii="Arial" w:hAnsi="Arial" w:cs="Arial"/>
          <w:color w:val="auto"/>
          <w:szCs w:val="22"/>
        </w:rPr>
      </w:pPr>
      <w:r w:rsidRPr="00AD693C">
        <w:rPr>
          <w:rFonts w:ascii="Arial" w:hAnsi="Arial" w:cs="Arial"/>
          <w:color w:val="auto"/>
          <w:szCs w:val="22"/>
        </w:rPr>
        <w:t>Implementación de sistemas de drenaje, esenciales para la prevención de inundaciones y otros riesgos hídricos.</w:t>
      </w:r>
    </w:p>
    <w:p w14:paraId="45F3D228" w14:textId="5BA02042" w:rsidR="004C4ABB" w:rsidRPr="00DE02E3" w:rsidRDefault="00AD693C" w:rsidP="00AA76D1">
      <w:pPr>
        <w:pStyle w:val="Prrafodelista"/>
        <w:numPr>
          <w:ilvl w:val="0"/>
          <w:numId w:val="6"/>
        </w:numPr>
        <w:rPr>
          <w:rFonts w:ascii="Arial" w:hAnsi="Arial" w:cs="Arial"/>
          <w:color w:val="auto"/>
          <w:szCs w:val="22"/>
        </w:rPr>
      </w:pPr>
      <w:r w:rsidRPr="00AD693C">
        <w:rPr>
          <w:rFonts w:ascii="Arial" w:hAnsi="Arial" w:cs="Arial"/>
          <w:color w:val="auto"/>
          <w:szCs w:val="22"/>
        </w:rPr>
        <w:t>Supervisión del uso y protección del agua, con el objetivo de asegurar la sostenibilidad y la conservación del recurso.</w:t>
      </w:r>
    </w:p>
    <w:p w14:paraId="5AF03780" w14:textId="65EABBF4" w:rsidR="004C4ABB" w:rsidRPr="00E0230D" w:rsidRDefault="00AD693C" w:rsidP="00E0230D">
      <w:pPr>
        <w:pStyle w:val="Prrafodelista"/>
        <w:numPr>
          <w:ilvl w:val="0"/>
          <w:numId w:val="6"/>
        </w:numPr>
        <w:rPr>
          <w:rFonts w:ascii="Arial" w:hAnsi="Arial" w:cs="Arial"/>
          <w:color w:val="auto"/>
          <w:szCs w:val="22"/>
        </w:rPr>
      </w:pPr>
      <w:r w:rsidRPr="00AD693C">
        <w:rPr>
          <w:rFonts w:ascii="Arial" w:hAnsi="Arial" w:cs="Arial"/>
          <w:color w:val="auto"/>
          <w:szCs w:val="22"/>
        </w:rPr>
        <w:t>Administración de sistemas de riego, fundamentales para el mantenimiento de la agricultura y otros usos industriales.</w:t>
      </w:r>
    </w:p>
    <w:p w14:paraId="4C8E085C" w14:textId="05B7D40A" w:rsidR="004C4ABB" w:rsidRPr="00DE02E3" w:rsidRDefault="00AD693C" w:rsidP="00AA76D1">
      <w:pPr>
        <w:pStyle w:val="Prrafodelista"/>
        <w:numPr>
          <w:ilvl w:val="0"/>
          <w:numId w:val="6"/>
        </w:numPr>
        <w:rPr>
          <w:rFonts w:ascii="Arial" w:hAnsi="Arial" w:cs="Arial"/>
          <w:color w:val="auto"/>
          <w:szCs w:val="22"/>
        </w:rPr>
      </w:pPr>
      <w:r w:rsidRPr="00AD693C">
        <w:rPr>
          <w:rFonts w:ascii="Arial" w:hAnsi="Arial" w:cs="Arial"/>
          <w:color w:val="auto"/>
          <w:szCs w:val="22"/>
        </w:rPr>
        <w:t>Realización y supervisión de trabajos profesionales, garantizando que todas las actividades se realicen de acuerdo con los más altos estándares de calidad y seguridad.</w:t>
      </w:r>
    </w:p>
    <w:p w14:paraId="7FE3899C" w14:textId="0FD6B8B9" w:rsidR="004C4ABB" w:rsidRPr="00DE02E3" w:rsidRDefault="004C4ABB" w:rsidP="00AA76D1">
      <w:pPr>
        <w:pStyle w:val="Prrafodelista"/>
        <w:numPr>
          <w:ilvl w:val="0"/>
          <w:numId w:val="6"/>
        </w:numPr>
        <w:rPr>
          <w:rFonts w:ascii="Arial" w:hAnsi="Arial" w:cs="Arial"/>
          <w:color w:val="auto"/>
          <w:szCs w:val="22"/>
        </w:rPr>
      </w:pPr>
      <w:r w:rsidRPr="00DE02E3">
        <w:rPr>
          <w:rFonts w:ascii="Arial" w:hAnsi="Arial" w:cs="Arial"/>
          <w:color w:val="auto"/>
          <w:szCs w:val="22"/>
        </w:rPr>
        <w:t>Cálculo y cobro de tarifas</w:t>
      </w:r>
      <w:r w:rsidR="00935E8A">
        <w:rPr>
          <w:rFonts w:ascii="Arial" w:hAnsi="Arial" w:cs="Arial"/>
          <w:color w:val="auto"/>
          <w:szCs w:val="22"/>
        </w:rPr>
        <w:t>.</w:t>
      </w:r>
    </w:p>
    <w:p w14:paraId="57231DDB" w14:textId="60FE1E21" w:rsidR="004C4ABB" w:rsidRPr="00DE02E3" w:rsidRDefault="00935E8A" w:rsidP="00AA76D1">
      <w:pPr>
        <w:pStyle w:val="Prrafodelista"/>
        <w:numPr>
          <w:ilvl w:val="0"/>
          <w:numId w:val="6"/>
        </w:numPr>
        <w:rPr>
          <w:rFonts w:ascii="Arial" w:hAnsi="Arial" w:cs="Arial"/>
          <w:color w:val="auto"/>
          <w:szCs w:val="22"/>
        </w:rPr>
      </w:pPr>
      <w:r w:rsidRPr="00935E8A">
        <w:rPr>
          <w:rFonts w:ascii="Arial" w:hAnsi="Arial" w:cs="Arial"/>
          <w:color w:val="auto"/>
          <w:szCs w:val="22"/>
        </w:rPr>
        <w:t>Gestión de proyectos especiales, permitiendo la adaptación a circunstancias o necesidades específicas en el sector del agua.</w:t>
      </w:r>
    </w:p>
    <w:p w14:paraId="03EF4BA1" w14:textId="609C69DA" w:rsidR="00BD3B28" w:rsidRPr="00BD3B28" w:rsidRDefault="0092483E" w:rsidP="00AA76D1">
      <w:pPr>
        <w:rPr>
          <w:color w:val="auto"/>
          <w:lang w:val="es-ES" w:eastAsia="es-ES"/>
        </w:rPr>
      </w:pPr>
      <w:r w:rsidRPr="0092483E">
        <w:rPr>
          <w:rFonts w:ascii="Arial" w:hAnsi="Arial" w:cs="Arial"/>
          <w:color w:val="auto"/>
          <w:szCs w:val="22"/>
        </w:rPr>
        <w:lastRenderedPageBreak/>
        <w:t xml:space="preserve">La empresa formula anualmente un plan integral para la gestión del agua, diseñado en consonancia con su estrategia financiera. Asume también la responsabilidad de ejecutar una variedad de proyectos en el ámbito de la gestión hídrica, con el objetivo de alinear tanto su infraestructura como su administración a las directivas establecidas por la Unión Europea, desde que se convirtió en miembro en 2013. Para tal fin, la compañía recibe una significativa </w:t>
      </w:r>
      <w:r w:rsidRPr="00E0230D">
        <w:rPr>
          <w:rFonts w:ascii="Arial" w:hAnsi="Arial" w:cs="Arial"/>
          <w:b/>
          <w:bCs/>
          <w:color w:val="auto"/>
          <w:szCs w:val="22"/>
        </w:rPr>
        <w:t>financiación proveniente de distintas instituciones europeas</w:t>
      </w:r>
      <w:r w:rsidRPr="0092483E">
        <w:rPr>
          <w:rFonts w:ascii="Arial" w:hAnsi="Arial" w:cs="Arial"/>
          <w:color w:val="auto"/>
          <w:szCs w:val="22"/>
        </w:rPr>
        <w:t>.</w:t>
      </w:r>
      <w:r w:rsidR="00BD3B28">
        <w:rPr>
          <w:rFonts w:ascii="Arial" w:hAnsi="Arial" w:cs="Arial"/>
          <w:color w:val="auto"/>
          <w:szCs w:val="22"/>
        </w:rPr>
        <w:t xml:space="preserve"> </w:t>
      </w:r>
      <w:r w:rsidR="00BD3B28">
        <w:rPr>
          <w:color w:val="auto"/>
          <w:lang w:eastAsia="es-ES"/>
        </w:rPr>
        <w:t>Paralelamente</w:t>
      </w:r>
      <w:r w:rsidR="00BD3B28" w:rsidRPr="00BE453B">
        <w:rPr>
          <w:color w:val="auto"/>
          <w:lang w:val="es-ES" w:eastAsia="es-ES"/>
        </w:rPr>
        <w:t xml:space="preserve">, Hrvatske Vode </w:t>
      </w:r>
      <w:r w:rsidR="00BD3B28">
        <w:rPr>
          <w:color w:val="auto"/>
          <w:lang w:val="es-ES" w:eastAsia="es-ES"/>
        </w:rPr>
        <w:t xml:space="preserve">recibe financiación de </w:t>
      </w:r>
      <w:r w:rsidR="00BD3B28" w:rsidRPr="00BD3B28">
        <w:rPr>
          <w:b/>
          <w:bCs/>
          <w:color w:val="auto"/>
          <w:lang w:val="es-ES" w:eastAsia="es-ES"/>
        </w:rPr>
        <w:t>otras dos fuentes</w:t>
      </w:r>
      <w:r w:rsidR="00BD3B28" w:rsidRPr="00504201">
        <w:rPr>
          <w:color w:val="auto"/>
          <w:lang w:val="es-ES" w:eastAsia="es-ES"/>
        </w:rPr>
        <w:t>: una cuota (tasas) para el mantenimiento del sistema de agua pagado por granjas, fábricas, polígonos industriales, etc</w:t>
      </w:r>
      <w:r w:rsidR="00BD3B28">
        <w:rPr>
          <w:color w:val="auto"/>
          <w:lang w:val="es-ES" w:eastAsia="es-ES"/>
        </w:rPr>
        <w:t>étera</w:t>
      </w:r>
      <w:r w:rsidR="00BD3B28" w:rsidRPr="00504201">
        <w:rPr>
          <w:color w:val="auto"/>
          <w:lang w:val="es-ES" w:eastAsia="es-ES"/>
        </w:rPr>
        <w:t>, e impuestos del agua pagados por los inversores de la construcción.</w:t>
      </w:r>
      <w:r w:rsidR="00BD3B28">
        <w:rPr>
          <w:color w:val="auto"/>
          <w:lang w:val="es-ES" w:eastAsia="es-ES"/>
        </w:rPr>
        <w:t xml:space="preserve"> </w:t>
      </w:r>
      <w:r w:rsidR="00433FA1">
        <w:rPr>
          <w:rFonts w:ascii="Arial" w:hAnsi="Arial" w:cs="Arial"/>
          <w:color w:val="auto"/>
          <w:szCs w:val="22"/>
        </w:rPr>
        <w:t>Adicionalmente</w:t>
      </w:r>
      <w:r w:rsidRPr="0092483E">
        <w:rPr>
          <w:rFonts w:ascii="Arial" w:hAnsi="Arial" w:cs="Arial"/>
          <w:color w:val="auto"/>
          <w:szCs w:val="22"/>
        </w:rPr>
        <w:t>,</w:t>
      </w:r>
      <w:r w:rsidR="00BD3B28">
        <w:rPr>
          <w:rFonts w:ascii="Arial" w:hAnsi="Arial" w:cs="Arial"/>
          <w:color w:val="auto"/>
          <w:szCs w:val="22"/>
        </w:rPr>
        <w:t xml:space="preserve"> cabe señalar que la agencia</w:t>
      </w:r>
      <w:r w:rsidRPr="0092483E">
        <w:rPr>
          <w:rFonts w:ascii="Arial" w:hAnsi="Arial" w:cs="Arial"/>
          <w:color w:val="auto"/>
          <w:szCs w:val="22"/>
        </w:rPr>
        <w:t xml:space="preserve"> sostiene una activa colaboración con diferentes empresas en la gestión de proyectos enfocados en la modernización y la construcción de nuevas infraestructuras.</w:t>
      </w:r>
    </w:p>
    <w:p w14:paraId="6FD27D71" w14:textId="01B70CFC" w:rsidR="00162022" w:rsidRPr="00B13E38" w:rsidRDefault="00497F28" w:rsidP="00AA76D1">
      <w:pPr>
        <w:rPr>
          <w:rFonts w:ascii="Arial" w:hAnsi="Arial" w:cs="Arial"/>
          <w:color w:val="auto"/>
          <w:szCs w:val="22"/>
        </w:rPr>
      </w:pPr>
      <w:r>
        <w:rPr>
          <w:rFonts w:ascii="Arial" w:hAnsi="Arial" w:cs="Arial"/>
          <w:color w:val="auto"/>
          <w:szCs w:val="22"/>
        </w:rPr>
        <w:t>Por otro lado</w:t>
      </w:r>
      <w:r w:rsidR="0092483E">
        <w:rPr>
          <w:rFonts w:ascii="Arial" w:hAnsi="Arial" w:cs="Arial"/>
          <w:color w:val="auto"/>
          <w:szCs w:val="22"/>
        </w:rPr>
        <w:t>, e</w:t>
      </w:r>
      <w:r w:rsidR="0092483E" w:rsidRPr="0092483E">
        <w:rPr>
          <w:rFonts w:ascii="Arial" w:hAnsi="Arial" w:cs="Arial"/>
          <w:color w:val="auto"/>
          <w:szCs w:val="22"/>
        </w:rPr>
        <w:t xml:space="preserve">s importante destacar </w:t>
      </w:r>
      <w:r w:rsidR="004A7742">
        <w:rPr>
          <w:rFonts w:ascii="Arial" w:hAnsi="Arial" w:cs="Arial"/>
          <w:color w:val="auto"/>
          <w:szCs w:val="22"/>
        </w:rPr>
        <w:t>la existencia de la</w:t>
      </w:r>
      <w:r w:rsidR="0092483E" w:rsidRPr="0092483E">
        <w:rPr>
          <w:rFonts w:ascii="Arial" w:hAnsi="Arial" w:cs="Arial"/>
          <w:color w:val="auto"/>
          <w:szCs w:val="22"/>
        </w:rPr>
        <w:t xml:space="preserve"> </w:t>
      </w:r>
      <w:r w:rsidR="0092483E" w:rsidRPr="004A7742">
        <w:rPr>
          <w:rFonts w:ascii="Arial" w:hAnsi="Arial" w:cs="Arial"/>
          <w:b/>
          <w:bCs/>
          <w:color w:val="auto"/>
          <w:szCs w:val="22"/>
        </w:rPr>
        <w:t>Asociación Nacional de Abastecimiento de Aguas y Alcantarillado</w:t>
      </w:r>
      <w:r w:rsidR="0092483E" w:rsidRPr="0092483E">
        <w:rPr>
          <w:rFonts w:ascii="Arial" w:hAnsi="Arial" w:cs="Arial"/>
          <w:color w:val="auto"/>
          <w:szCs w:val="22"/>
        </w:rPr>
        <w:t xml:space="preserve"> (HGVIK</w:t>
      </w:r>
      <w:r w:rsidR="0092483E">
        <w:rPr>
          <w:rFonts w:ascii="Arial" w:hAnsi="Arial" w:cs="Arial"/>
          <w:color w:val="auto"/>
          <w:szCs w:val="22"/>
        </w:rPr>
        <w:t>).</w:t>
      </w:r>
      <w:r w:rsidR="0092483E" w:rsidRPr="0092483E">
        <w:t xml:space="preserve"> </w:t>
      </w:r>
      <w:r w:rsidR="004A7742">
        <w:t>Esta asociación tiene como</w:t>
      </w:r>
      <w:r w:rsidR="004A7742">
        <w:rPr>
          <w:rFonts w:ascii="Arial" w:hAnsi="Arial" w:cs="Arial"/>
          <w:color w:val="auto"/>
          <w:szCs w:val="22"/>
        </w:rPr>
        <w:t xml:space="preserve"> </w:t>
      </w:r>
      <w:r w:rsidR="0092483E" w:rsidRPr="0092483E">
        <w:rPr>
          <w:rFonts w:ascii="Arial" w:hAnsi="Arial" w:cs="Arial"/>
          <w:color w:val="auto"/>
          <w:szCs w:val="22"/>
        </w:rPr>
        <w:t xml:space="preserve">objetivo impartir </w:t>
      </w:r>
      <w:r w:rsidR="0092483E" w:rsidRPr="00E65568">
        <w:rPr>
          <w:rFonts w:ascii="Arial" w:hAnsi="Arial" w:cs="Arial"/>
          <w:b/>
          <w:bCs/>
          <w:color w:val="auto"/>
          <w:szCs w:val="22"/>
        </w:rPr>
        <w:t>formación</w:t>
      </w:r>
      <w:r w:rsidR="0092483E" w:rsidRPr="0092483E">
        <w:rPr>
          <w:rFonts w:ascii="Arial" w:hAnsi="Arial" w:cs="Arial"/>
          <w:color w:val="auto"/>
          <w:szCs w:val="22"/>
        </w:rPr>
        <w:t xml:space="preserve">, brindar </w:t>
      </w:r>
      <w:r w:rsidR="0092483E" w:rsidRPr="00E65568">
        <w:rPr>
          <w:rFonts w:ascii="Arial" w:hAnsi="Arial" w:cs="Arial"/>
          <w:b/>
          <w:bCs/>
          <w:color w:val="auto"/>
          <w:szCs w:val="22"/>
        </w:rPr>
        <w:t>asistencia técnica</w:t>
      </w:r>
      <w:r w:rsidR="0092483E" w:rsidRPr="0092483E">
        <w:rPr>
          <w:rFonts w:ascii="Arial" w:hAnsi="Arial" w:cs="Arial"/>
          <w:color w:val="auto"/>
          <w:szCs w:val="22"/>
        </w:rPr>
        <w:t xml:space="preserve"> y </w:t>
      </w:r>
      <w:r w:rsidR="0092483E" w:rsidRPr="00E65568">
        <w:rPr>
          <w:rFonts w:ascii="Arial" w:hAnsi="Arial" w:cs="Arial"/>
          <w:b/>
          <w:bCs/>
          <w:color w:val="auto"/>
          <w:szCs w:val="22"/>
        </w:rPr>
        <w:t>compartir conocimientos</w:t>
      </w:r>
      <w:r w:rsidR="0092483E" w:rsidRPr="0092483E">
        <w:rPr>
          <w:rFonts w:ascii="Arial" w:hAnsi="Arial" w:cs="Arial"/>
          <w:color w:val="auto"/>
          <w:szCs w:val="22"/>
        </w:rPr>
        <w:t xml:space="preserve"> a través de </w:t>
      </w:r>
      <w:r w:rsidR="0092483E" w:rsidRPr="00162022">
        <w:rPr>
          <w:rFonts w:ascii="Arial" w:hAnsi="Arial" w:cs="Arial"/>
          <w:i/>
          <w:iCs/>
          <w:color w:val="auto"/>
          <w:szCs w:val="22"/>
        </w:rPr>
        <w:t>workshops</w:t>
      </w:r>
      <w:r w:rsidR="0092483E" w:rsidRPr="0092483E">
        <w:rPr>
          <w:rFonts w:ascii="Arial" w:hAnsi="Arial" w:cs="Arial"/>
          <w:color w:val="auto"/>
          <w:szCs w:val="22"/>
        </w:rPr>
        <w:t>, conferencias y publicaciones, a todos los actores y grupos de interés dentro del sector hídrico. Adicionalmente, se dedica a fomentar la conciencia pública sobre la importancia y el valor del suministro de agua potable, el tratamiento de aguas residuales y su impacto global en el medioambiente</w:t>
      </w:r>
      <w:r w:rsidR="00E0230D">
        <w:rPr>
          <w:rFonts w:ascii="Arial" w:hAnsi="Arial" w:cs="Arial"/>
          <w:color w:val="auto"/>
          <w:szCs w:val="22"/>
        </w:rPr>
        <w:t>.</w:t>
      </w:r>
    </w:p>
    <w:p w14:paraId="600A0AC6" w14:textId="40F3AA47" w:rsidR="007C6EDD" w:rsidRPr="007C6EDD" w:rsidRDefault="007C6EDD" w:rsidP="007C6EDD">
      <w:pPr>
        <w:pStyle w:val="Ttulo2"/>
      </w:pPr>
      <w:bookmarkStart w:id="9" w:name="_Toc148363694"/>
      <w:r>
        <w:t>Marco regulatorio</w:t>
      </w:r>
      <w:bookmarkEnd w:id="9"/>
    </w:p>
    <w:p w14:paraId="562EC1DA" w14:textId="7E972D84" w:rsidR="003957FB" w:rsidRDefault="003957FB" w:rsidP="00AA76D1">
      <w:pPr>
        <w:rPr>
          <w:noProof/>
          <w:color w:val="auto"/>
        </w:rPr>
      </w:pPr>
      <w:bookmarkStart w:id="10" w:name="_Hlk145950960"/>
      <w:r w:rsidRPr="003957FB">
        <w:rPr>
          <w:noProof/>
          <w:color w:val="auto"/>
        </w:rPr>
        <w:t xml:space="preserve">La </w:t>
      </w:r>
      <w:r w:rsidRPr="003957FB">
        <w:rPr>
          <w:b/>
          <w:bCs/>
          <w:noProof/>
          <w:color w:val="auto"/>
        </w:rPr>
        <w:t>página web</w:t>
      </w:r>
      <w:r w:rsidRPr="003957FB">
        <w:rPr>
          <w:noProof/>
          <w:color w:val="auto"/>
        </w:rPr>
        <w:t xml:space="preserve"> oficial de </w:t>
      </w:r>
      <w:r w:rsidRPr="003957FB">
        <w:rPr>
          <w:b/>
          <w:bCs/>
          <w:noProof/>
          <w:color w:val="auto"/>
        </w:rPr>
        <w:t>Hrvatske Vode</w:t>
      </w:r>
      <w:r w:rsidRPr="003957FB">
        <w:rPr>
          <w:noProof/>
          <w:color w:val="auto"/>
        </w:rPr>
        <w:t xml:space="preserve"> </w:t>
      </w:r>
      <w:r>
        <w:rPr>
          <w:noProof/>
          <w:color w:val="auto"/>
        </w:rPr>
        <w:t>(</w:t>
      </w:r>
      <w:hyperlink r:id="rId19" w:history="1">
        <w:r w:rsidRPr="00F91693">
          <w:rPr>
            <w:rStyle w:val="Hipervnculo"/>
            <w:noProof/>
          </w:rPr>
          <w:t>https://voda.hr/hr</w:t>
        </w:r>
      </w:hyperlink>
      <w:r>
        <w:rPr>
          <w:noProof/>
          <w:color w:val="auto"/>
        </w:rPr>
        <w:t xml:space="preserve">) </w:t>
      </w:r>
      <w:r w:rsidRPr="003957FB">
        <w:rPr>
          <w:noProof/>
          <w:color w:val="auto"/>
        </w:rPr>
        <w:t xml:space="preserve">proporciona un </w:t>
      </w:r>
      <w:r w:rsidRPr="003957FB">
        <w:rPr>
          <w:b/>
          <w:bCs/>
          <w:noProof/>
          <w:color w:val="auto"/>
        </w:rPr>
        <w:t>listado</w:t>
      </w:r>
      <w:r>
        <w:rPr>
          <w:noProof/>
          <w:color w:val="auto"/>
        </w:rPr>
        <w:t xml:space="preserve"> exhaustivo</w:t>
      </w:r>
      <w:r w:rsidRPr="003957FB">
        <w:rPr>
          <w:noProof/>
          <w:color w:val="auto"/>
        </w:rPr>
        <w:t xml:space="preserve"> de las </w:t>
      </w:r>
      <w:r w:rsidRPr="003957FB">
        <w:rPr>
          <w:b/>
          <w:bCs/>
          <w:noProof/>
          <w:color w:val="auto"/>
        </w:rPr>
        <w:t>leyes croatas</w:t>
      </w:r>
      <w:r w:rsidRPr="003957FB">
        <w:rPr>
          <w:noProof/>
          <w:color w:val="auto"/>
        </w:rPr>
        <w:t xml:space="preserve"> relacionadas con la gestión del agua, las </w:t>
      </w:r>
      <w:r w:rsidRPr="003957FB">
        <w:rPr>
          <w:b/>
          <w:bCs/>
          <w:noProof/>
          <w:color w:val="auto"/>
        </w:rPr>
        <w:t>normativas europeas</w:t>
      </w:r>
      <w:r w:rsidRPr="003957FB">
        <w:rPr>
          <w:noProof/>
          <w:color w:val="auto"/>
        </w:rPr>
        <w:t xml:space="preserve"> sobre el agua, así como la legislación pertinente a los derechos de agua, entre otros temas relevantes.</w:t>
      </w:r>
      <w:r w:rsidRPr="003957FB">
        <w:t xml:space="preserve"> </w:t>
      </w:r>
      <w:r w:rsidRPr="003957FB">
        <w:rPr>
          <w:noProof/>
          <w:color w:val="auto"/>
        </w:rPr>
        <w:t>Todo esto se puede consultar en la pestaña "</w:t>
      </w:r>
      <w:r w:rsidRPr="003957FB">
        <w:rPr>
          <w:i/>
          <w:iCs/>
          <w:noProof/>
          <w:color w:val="auto"/>
          <w:u w:val="single"/>
        </w:rPr>
        <w:t>Regulations and forms</w:t>
      </w:r>
      <w:r w:rsidRPr="003957FB">
        <w:rPr>
          <w:noProof/>
          <w:color w:val="auto"/>
        </w:rPr>
        <w:t>" ("Normativa y formularios").</w:t>
      </w:r>
    </w:p>
    <w:bookmarkEnd w:id="10"/>
    <w:p w14:paraId="6BB5067F" w14:textId="72AEE938" w:rsidR="00BD36BE" w:rsidRPr="00BD36BE" w:rsidRDefault="00BD36BE" w:rsidP="00AA76D1">
      <w:pPr>
        <w:rPr>
          <w:noProof/>
          <w:color w:val="auto"/>
        </w:rPr>
      </w:pPr>
      <w:r w:rsidRPr="00BD36BE">
        <w:rPr>
          <w:noProof/>
          <w:color w:val="auto"/>
        </w:rPr>
        <w:t xml:space="preserve">Las </w:t>
      </w:r>
      <w:r w:rsidRPr="00BD36BE">
        <w:rPr>
          <w:b/>
          <w:bCs/>
          <w:noProof/>
          <w:color w:val="auto"/>
        </w:rPr>
        <w:t>leyes principales</w:t>
      </w:r>
      <w:r w:rsidRPr="00BD36BE">
        <w:rPr>
          <w:noProof/>
          <w:color w:val="auto"/>
        </w:rPr>
        <w:t xml:space="preserve"> que regulan el sector del agua en Croacia son las siguientes:</w:t>
      </w:r>
    </w:p>
    <w:p w14:paraId="695DCA13" w14:textId="77777777" w:rsidR="00AF187D" w:rsidRDefault="00BD36BE" w:rsidP="00AF187D">
      <w:pPr>
        <w:pStyle w:val="Prrafodelista"/>
        <w:numPr>
          <w:ilvl w:val="0"/>
          <w:numId w:val="23"/>
        </w:numPr>
        <w:rPr>
          <w:noProof/>
          <w:color w:val="auto"/>
        </w:rPr>
      </w:pPr>
      <w:r w:rsidRPr="00294341">
        <w:rPr>
          <w:noProof/>
          <w:color w:val="auto"/>
        </w:rPr>
        <w:t>Ley de Aguas</w:t>
      </w:r>
      <w:r w:rsidRPr="00BD36BE">
        <w:rPr>
          <w:noProof/>
          <w:color w:val="auto"/>
        </w:rPr>
        <w:t xml:space="preserve"> (publicada en el "Boletín Oficial", n</w:t>
      </w:r>
      <w:r w:rsidR="003A5C1C">
        <w:rPr>
          <w:noProof/>
          <w:color w:val="auto"/>
        </w:rPr>
        <w:t>.</w:t>
      </w:r>
      <w:r w:rsidRPr="00BD36BE">
        <w:rPr>
          <w:noProof/>
          <w:color w:val="auto"/>
        </w:rPr>
        <w:t>º 66/19 y 84/21):</w:t>
      </w:r>
    </w:p>
    <w:p w14:paraId="483885F6" w14:textId="77777777" w:rsidR="00AF187D" w:rsidRDefault="00AF187D" w:rsidP="00AF187D">
      <w:pPr>
        <w:pStyle w:val="Prrafodelista"/>
        <w:numPr>
          <w:ilvl w:val="0"/>
          <w:numId w:val="0"/>
        </w:numPr>
        <w:ind w:left="720"/>
        <w:rPr>
          <w:noProof/>
          <w:color w:val="auto"/>
        </w:rPr>
      </w:pPr>
    </w:p>
    <w:p w14:paraId="660672A3" w14:textId="7F32510A" w:rsidR="00BD36BE" w:rsidRDefault="00BD36BE" w:rsidP="00AF187D">
      <w:pPr>
        <w:pStyle w:val="Prrafodelista"/>
        <w:numPr>
          <w:ilvl w:val="0"/>
          <w:numId w:val="0"/>
        </w:numPr>
        <w:ind w:left="720"/>
        <w:rPr>
          <w:noProof/>
          <w:color w:val="auto"/>
        </w:rPr>
      </w:pPr>
      <w:r w:rsidRPr="00AF187D">
        <w:rPr>
          <w:noProof/>
          <w:color w:val="auto"/>
        </w:rPr>
        <w:t>Establece el estatus jurídico del agua, los recursos hídricos y las estructuras hídricas. Asimismo, regula la gestión de la calidad y cantidad del agua, la protección contra los efectos dañinos del agua, el drenaje y la recuperación mediante el riego. Adicionalmente, aborda las actividades de suministro público de agua y alcantarillado, así como las actividades especiales relacionadas con la gestión del agua. Esta ley también define la estructura institucional para la implementación de estas actividades y aborda otros asuntos relacionados con el agua y los recursos hídricos.</w:t>
      </w:r>
    </w:p>
    <w:p w14:paraId="485BD77B" w14:textId="77777777" w:rsidR="00AF187D" w:rsidRPr="00AF187D" w:rsidRDefault="00AF187D" w:rsidP="00AF187D">
      <w:pPr>
        <w:pStyle w:val="Prrafodelista"/>
        <w:numPr>
          <w:ilvl w:val="0"/>
          <w:numId w:val="0"/>
        </w:numPr>
        <w:ind w:left="720"/>
        <w:rPr>
          <w:noProof/>
          <w:color w:val="auto"/>
        </w:rPr>
      </w:pPr>
    </w:p>
    <w:p w14:paraId="30012C56" w14:textId="0261AA29" w:rsidR="00BD36BE" w:rsidRDefault="00BD36BE" w:rsidP="00AA76D1">
      <w:pPr>
        <w:pStyle w:val="Prrafodelista"/>
        <w:numPr>
          <w:ilvl w:val="0"/>
          <w:numId w:val="24"/>
        </w:numPr>
        <w:rPr>
          <w:noProof/>
          <w:color w:val="auto"/>
        </w:rPr>
      </w:pPr>
      <w:r w:rsidRPr="00294341">
        <w:rPr>
          <w:noProof/>
          <w:color w:val="auto"/>
        </w:rPr>
        <w:t>Ley sobre la Financiación de la Gestión del Agua</w:t>
      </w:r>
      <w:r w:rsidRPr="00BD36BE">
        <w:rPr>
          <w:noProof/>
          <w:color w:val="auto"/>
        </w:rPr>
        <w:t xml:space="preserve"> (publicada en el "Boletín Oficial", n</w:t>
      </w:r>
      <w:r w:rsidR="003A5C1C">
        <w:rPr>
          <w:noProof/>
          <w:color w:val="auto"/>
        </w:rPr>
        <w:t>.</w:t>
      </w:r>
      <w:r w:rsidRPr="00BD36BE">
        <w:rPr>
          <w:noProof/>
          <w:color w:val="auto"/>
        </w:rPr>
        <w:t>º 153/09, 90/11, 56/13, 120/16, 127/17 y 66/19):</w:t>
      </w:r>
    </w:p>
    <w:p w14:paraId="27DF2C4D" w14:textId="77777777" w:rsidR="00BD36BE" w:rsidRDefault="00BD36BE" w:rsidP="00AA76D1">
      <w:pPr>
        <w:pStyle w:val="Prrafodelista"/>
        <w:numPr>
          <w:ilvl w:val="0"/>
          <w:numId w:val="0"/>
        </w:numPr>
        <w:ind w:left="720"/>
        <w:rPr>
          <w:noProof/>
          <w:color w:val="auto"/>
        </w:rPr>
      </w:pPr>
    </w:p>
    <w:p w14:paraId="3B0E400F" w14:textId="53079F67" w:rsidR="00BD36BE" w:rsidRDefault="00BD36BE" w:rsidP="00AA76D1">
      <w:pPr>
        <w:pStyle w:val="Prrafodelista"/>
        <w:numPr>
          <w:ilvl w:val="0"/>
          <w:numId w:val="0"/>
        </w:numPr>
        <w:ind w:left="720"/>
        <w:rPr>
          <w:noProof/>
          <w:color w:val="auto"/>
        </w:rPr>
      </w:pPr>
      <w:r w:rsidRPr="00BD36BE">
        <w:rPr>
          <w:noProof/>
          <w:color w:val="auto"/>
        </w:rPr>
        <w:lastRenderedPageBreak/>
        <w:t>Esta ley detalla las fuentes de financiación para la gestión del agua. Esto incluye la obligación de pago, el pagador, la base, el método de cálculo, la determinación del importe, el propósito del gasto de estos fondos, la ejecución, la prescripción y otras cuestiones relacionadas con la adquisición y uso de estos fondos. Además, se han emitido reglamentos para modificar esta ley, los cuales se encuentran en el "Boletín Oficial", n.º 154/14 y 119/15.</w:t>
      </w:r>
    </w:p>
    <w:p w14:paraId="78C58747" w14:textId="77777777" w:rsidR="00DD350F" w:rsidRPr="00BD36BE" w:rsidRDefault="00DD350F" w:rsidP="00AA76D1">
      <w:pPr>
        <w:pStyle w:val="Prrafodelista"/>
        <w:numPr>
          <w:ilvl w:val="0"/>
          <w:numId w:val="0"/>
        </w:numPr>
        <w:ind w:left="720"/>
        <w:rPr>
          <w:noProof/>
          <w:color w:val="auto"/>
        </w:rPr>
      </w:pPr>
    </w:p>
    <w:p w14:paraId="04556499" w14:textId="77C9A23C" w:rsidR="00BD36BE" w:rsidRDefault="00BD36BE" w:rsidP="00AA76D1">
      <w:pPr>
        <w:pStyle w:val="Prrafodelista"/>
        <w:numPr>
          <w:ilvl w:val="0"/>
          <w:numId w:val="24"/>
        </w:numPr>
        <w:rPr>
          <w:noProof/>
          <w:color w:val="auto"/>
        </w:rPr>
      </w:pPr>
      <w:r w:rsidRPr="00294341">
        <w:rPr>
          <w:noProof/>
          <w:color w:val="auto"/>
        </w:rPr>
        <w:t>Ley de Servicios de Agua</w:t>
      </w:r>
      <w:r w:rsidRPr="00BD36BE">
        <w:rPr>
          <w:noProof/>
          <w:color w:val="auto"/>
        </w:rPr>
        <w:t xml:space="preserve"> (publicada en el "Boletín Oficial" n</w:t>
      </w:r>
      <w:r w:rsidR="003A5C1C">
        <w:rPr>
          <w:noProof/>
          <w:color w:val="auto"/>
        </w:rPr>
        <w:t>.</w:t>
      </w:r>
      <w:r w:rsidRPr="00BD36BE">
        <w:rPr>
          <w:noProof/>
          <w:color w:val="auto"/>
        </w:rPr>
        <w:t>º 66/2019):</w:t>
      </w:r>
    </w:p>
    <w:p w14:paraId="4F1F2E1D" w14:textId="77777777" w:rsidR="00BD36BE" w:rsidRDefault="00BD36BE" w:rsidP="00AA76D1">
      <w:pPr>
        <w:pStyle w:val="Prrafodelista"/>
        <w:numPr>
          <w:ilvl w:val="0"/>
          <w:numId w:val="0"/>
        </w:numPr>
        <w:ind w:left="720"/>
        <w:rPr>
          <w:noProof/>
          <w:color w:val="auto"/>
          <w:u w:val="single"/>
        </w:rPr>
      </w:pPr>
    </w:p>
    <w:p w14:paraId="258852BD" w14:textId="5B00F761" w:rsidR="00BD36BE" w:rsidRPr="00BD36BE" w:rsidRDefault="00BD36BE" w:rsidP="00AA76D1">
      <w:pPr>
        <w:pStyle w:val="Prrafodelista"/>
        <w:numPr>
          <w:ilvl w:val="0"/>
          <w:numId w:val="0"/>
        </w:numPr>
        <w:ind w:left="720"/>
        <w:rPr>
          <w:noProof/>
          <w:color w:val="auto"/>
        </w:rPr>
      </w:pPr>
      <w:r w:rsidRPr="00BD36BE">
        <w:rPr>
          <w:noProof/>
          <w:color w:val="auto"/>
        </w:rPr>
        <w:t>Esta ley regula el marco institucional para la prestación de servicios de agua. Define el precio de los servicios de agua, la situación jurídica y la operatividad sostenible de los proveedores de servicios de agua. Además, establece las actividades del Consejo de Servicios de Agua y otras cuestiones relacionadas con la prestación de servicios de agua.</w:t>
      </w:r>
    </w:p>
    <w:p w14:paraId="21247F70" w14:textId="14E4A8E5" w:rsidR="00733261" w:rsidRDefault="00733261" w:rsidP="00AA76D1">
      <w:pPr>
        <w:rPr>
          <w:noProof/>
          <w:color w:val="auto"/>
        </w:rPr>
      </w:pPr>
      <w:r w:rsidRPr="00DE02E3">
        <w:rPr>
          <w:noProof/>
          <w:color w:val="auto"/>
        </w:rPr>
        <w:t>Respecto a l</w:t>
      </w:r>
      <w:r w:rsidR="002C5411">
        <w:rPr>
          <w:noProof/>
          <w:color w:val="auto"/>
        </w:rPr>
        <w:t>as</w:t>
      </w:r>
      <w:r w:rsidRPr="00DE02E3">
        <w:rPr>
          <w:noProof/>
          <w:color w:val="auto"/>
        </w:rPr>
        <w:t xml:space="preserve"> </w:t>
      </w:r>
      <w:r w:rsidR="002C5411" w:rsidRPr="002C5411">
        <w:rPr>
          <w:b/>
          <w:bCs/>
          <w:noProof/>
          <w:color w:val="auto"/>
        </w:rPr>
        <w:t>leyes europeas</w:t>
      </w:r>
      <w:r w:rsidR="002C5411" w:rsidRPr="002C5411">
        <w:rPr>
          <w:noProof/>
          <w:color w:val="auto"/>
        </w:rPr>
        <w:t xml:space="preserve"> que son aplicables a Croacia en el ámbito del agua</w:t>
      </w:r>
      <w:r w:rsidR="002C5411" w:rsidRPr="00DE02E3">
        <w:rPr>
          <w:noProof/>
          <w:color w:val="auto"/>
        </w:rPr>
        <w:t xml:space="preserve"> </w:t>
      </w:r>
      <w:r w:rsidRPr="00DE02E3">
        <w:rPr>
          <w:noProof/>
          <w:color w:val="auto"/>
        </w:rPr>
        <w:t>destacan las siguientes:</w:t>
      </w:r>
    </w:p>
    <w:p w14:paraId="63F69B52" w14:textId="64796B6A" w:rsidR="002C5411" w:rsidRDefault="002C5411" w:rsidP="00AA76D1">
      <w:pPr>
        <w:pStyle w:val="Prrafodelista"/>
        <w:numPr>
          <w:ilvl w:val="0"/>
          <w:numId w:val="25"/>
        </w:numPr>
        <w:rPr>
          <w:noProof/>
          <w:color w:val="auto"/>
        </w:rPr>
      </w:pPr>
      <w:r w:rsidRPr="00294341">
        <w:rPr>
          <w:noProof/>
          <w:color w:val="auto"/>
        </w:rPr>
        <w:t>Directiva 2000/60/CE</w:t>
      </w:r>
      <w:r w:rsidRPr="002C5411">
        <w:rPr>
          <w:noProof/>
          <w:color w:val="auto"/>
        </w:rPr>
        <w:t xml:space="preserve"> del Parlamento Europeo y del Consejo, fechada el 23 de octubre de 2000: Esta directiva establece un marco de acción a nivel comunitario en el campo de la política de aguas.</w:t>
      </w:r>
    </w:p>
    <w:p w14:paraId="624AA7DB" w14:textId="77777777" w:rsidR="002C5411" w:rsidRDefault="002C5411" w:rsidP="00AA76D1">
      <w:pPr>
        <w:pStyle w:val="Prrafodelista"/>
        <w:numPr>
          <w:ilvl w:val="0"/>
          <w:numId w:val="0"/>
        </w:numPr>
        <w:ind w:left="720"/>
        <w:rPr>
          <w:noProof/>
          <w:color w:val="auto"/>
        </w:rPr>
      </w:pPr>
    </w:p>
    <w:p w14:paraId="71F555D3" w14:textId="17CE9417" w:rsidR="002C5411" w:rsidRPr="002C5411" w:rsidRDefault="002C5411" w:rsidP="00AA76D1">
      <w:pPr>
        <w:pStyle w:val="Prrafodelista"/>
        <w:numPr>
          <w:ilvl w:val="0"/>
          <w:numId w:val="25"/>
        </w:numPr>
        <w:rPr>
          <w:noProof/>
          <w:color w:val="auto"/>
        </w:rPr>
      </w:pPr>
      <w:r w:rsidRPr="00294341">
        <w:rPr>
          <w:noProof/>
          <w:color w:val="auto"/>
        </w:rPr>
        <w:t>Decisión 2455/2001/CE</w:t>
      </w:r>
      <w:r w:rsidRPr="002C5411">
        <w:rPr>
          <w:noProof/>
          <w:color w:val="auto"/>
        </w:rPr>
        <w:t xml:space="preserve"> del Parlamento Europeo y del Consejo, fechada el 20 de noviembre de 2001: Esta decisión aprueba la lista de sustancias prioritarias en el campo de la política de aguas y modifica la Directiva 2000/60/CE.</w:t>
      </w:r>
    </w:p>
    <w:p w14:paraId="2086E469" w14:textId="77777777" w:rsidR="002C5411" w:rsidRPr="002C5411" w:rsidRDefault="002C5411" w:rsidP="00AA76D1">
      <w:pPr>
        <w:pStyle w:val="Prrafodelista"/>
        <w:numPr>
          <w:ilvl w:val="0"/>
          <w:numId w:val="0"/>
        </w:numPr>
        <w:ind w:left="720"/>
        <w:rPr>
          <w:noProof/>
          <w:color w:val="auto"/>
        </w:rPr>
      </w:pPr>
    </w:p>
    <w:p w14:paraId="143F96DA" w14:textId="465E4084" w:rsidR="002C5411" w:rsidRPr="002C5411" w:rsidRDefault="002C5411" w:rsidP="00AA76D1">
      <w:pPr>
        <w:pStyle w:val="Prrafodelista"/>
        <w:numPr>
          <w:ilvl w:val="0"/>
          <w:numId w:val="25"/>
        </w:numPr>
        <w:rPr>
          <w:noProof/>
          <w:color w:val="auto"/>
        </w:rPr>
      </w:pPr>
      <w:r w:rsidRPr="00294341">
        <w:rPr>
          <w:noProof/>
          <w:color w:val="auto"/>
        </w:rPr>
        <w:t>Decisión de la Comisión del 2005 de agosto de 646:</w:t>
      </w:r>
      <w:r w:rsidRPr="002C5411">
        <w:rPr>
          <w:noProof/>
          <w:color w:val="auto"/>
        </w:rPr>
        <w:t xml:space="preserve"> Esta decisión se refiere a la creación de un registro de puntos para la formación de la red de intercalibración, en concordancia con la Directiva 17/2005/CE del Parlamento Europeo y del Consejo.</w:t>
      </w:r>
    </w:p>
    <w:p w14:paraId="5DA6256D" w14:textId="1853DA59" w:rsidR="00733261" w:rsidRPr="00DE02E3" w:rsidRDefault="00733261" w:rsidP="00AA76D1">
      <w:pPr>
        <w:rPr>
          <w:noProof/>
          <w:color w:val="auto"/>
        </w:rPr>
      </w:pPr>
      <w:r w:rsidRPr="00DE02E3">
        <w:rPr>
          <w:noProof/>
          <w:color w:val="auto"/>
        </w:rPr>
        <w:t>Por otro lado, Croacia tiene firmado</w:t>
      </w:r>
      <w:r w:rsidR="001B5DCA">
        <w:rPr>
          <w:noProof/>
          <w:color w:val="auto"/>
        </w:rPr>
        <w:t>s</w:t>
      </w:r>
      <w:r w:rsidRPr="00DE02E3">
        <w:rPr>
          <w:noProof/>
          <w:color w:val="auto"/>
        </w:rPr>
        <w:t xml:space="preserve"> </w:t>
      </w:r>
      <w:r w:rsidRPr="005C6600">
        <w:rPr>
          <w:b/>
          <w:bCs/>
          <w:noProof/>
          <w:color w:val="auto"/>
        </w:rPr>
        <w:t>acuerdos bilaterales</w:t>
      </w:r>
      <w:r w:rsidRPr="00DE02E3">
        <w:rPr>
          <w:noProof/>
          <w:color w:val="auto"/>
        </w:rPr>
        <w:t xml:space="preserve"> </w:t>
      </w:r>
      <w:r w:rsidR="002C5411">
        <w:rPr>
          <w:noProof/>
          <w:color w:val="auto"/>
        </w:rPr>
        <w:t>en materia de aguas</w:t>
      </w:r>
      <w:r w:rsidRPr="00DE02E3">
        <w:rPr>
          <w:noProof/>
          <w:color w:val="auto"/>
        </w:rPr>
        <w:t xml:space="preserve"> con algunos </w:t>
      </w:r>
      <w:r w:rsidRPr="00C23E04">
        <w:rPr>
          <w:b/>
          <w:bCs/>
          <w:noProof/>
          <w:color w:val="auto"/>
        </w:rPr>
        <w:t xml:space="preserve">países </w:t>
      </w:r>
      <w:r w:rsidR="002C5411" w:rsidRPr="00C23E04">
        <w:rPr>
          <w:b/>
          <w:bCs/>
          <w:noProof/>
          <w:color w:val="auto"/>
        </w:rPr>
        <w:t>colindantes</w:t>
      </w:r>
      <w:r w:rsidRPr="00DE02E3">
        <w:rPr>
          <w:noProof/>
          <w:color w:val="auto"/>
        </w:rPr>
        <w:t>, entre los que destacan:</w:t>
      </w:r>
    </w:p>
    <w:p w14:paraId="49F6BB7C" w14:textId="77777777" w:rsidR="00733261" w:rsidRPr="00DE02E3" w:rsidRDefault="00733261" w:rsidP="00AA76D1">
      <w:pPr>
        <w:pStyle w:val="Prrafodelista"/>
        <w:numPr>
          <w:ilvl w:val="0"/>
          <w:numId w:val="11"/>
        </w:numPr>
        <w:rPr>
          <w:noProof/>
          <w:color w:val="auto"/>
        </w:rPr>
      </w:pPr>
      <w:r w:rsidRPr="00DE02E3">
        <w:rPr>
          <w:noProof/>
          <w:color w:val="auto"/>
        </w:rPr>
        <w:t>Acuerdo entre Hungría y Croacia en materias de interés común sobre la gestión de aguas fronterizas y transfronterizas que forman cauces, vertientes y cuencas hidrográficas.</w:t>
      </w:r>
    </w:p>
    <w:p w14:paraId="19836BAD" w14:textId="7EA2C791" w:rsidR="00733261" w:rsidRPr="00DE02E3" w:rsidRDefault="00733261" w:rsidP="00AA76D1">
      <w:pPr>
        <w:pStyle w:val="Prrafodelista"/>
        <w:numPr>
          <w:ilvl w:val="0"/>
          <w:numId w:val="11"/>
        </w:numPr>
        <w:rPr>
          <w:noProof/>
          <w:color w:val="auto"/>
        </w:rPr>
      </w:pPr>
      <w:r w:rsidRPr="00DE02E3">
        <w:rPr>
          <w:noProof/>
          <w:color w:val="auto"/>
        </w:rPr>
        <w:t xml:space="preserve">Acuerdo entre Eslovenia y Croacia sobre la regulación de la gestión del agua; cuentan con otro acuerdo de cooperación para la protección por la contaminación del </w:t>
      </w:r>
      <w:r w:rsidR="004B32AE">
        <w:rPr>
          <w:noProof/>
          <w:color w:val="auto"/>
        </w:rPr>
        <w:t>m</w:t>
      </w:r>
      <w:r w:rsidRPr="00DE02E3">
        <w:rPr>
          <w:noProof/>
          <w:color w:val="auto"/>
        </w:rPr>
        <w:t>ar Adriático y el área costera.</w:t>
      </w:r>
    </w:p>
    <w:p w14:paraId="1A58E49A" w14:textId="6B13E93B" w:rsidR="005C52F5" w:rsidRDefault="00733261" w:rsidP="00AA76D1">
      <w:pPr>
        <w:pStyle w:val="Prrafodelista"/>
        <w:numPr>
          <w:ilvl w:val="0"/>
          <w:numId w:val="11"/>
        </w:numPr>
        <w:rPr>
          <w:noProof/>
        </w:rPr>
      </w:pPr>
      <w:r w:rsidRPr="00DE02E3">
        <w:rPr>
          <w:noProof/>
          <w:color w:val="auto"/>
        </w:rPr>
        <w:t>Acuerdo entre Bosnia y Herzegovina y Croacia para la gestión del agua en cursos transfronterizos.</w:t>
      </w:r>
    </w:p>
    <w:p w14:paraId="70D1A1C5" w14:textId="3E0A10C9" w:rsidR="00C56803" w:rsidRDefault="000E08ED" w:rsidP="007A2D36">
      <w:pPr>
        <w:pStyle w:val="Ttulo1"/>
        <w:ind w:left="0"/>
      </w:pPr>
      <w:bookmarkStart w:id="11" w:name="_Toc479593631"/>
      <w:bookmarkStart w:id="12" w:name="_Toc479594586"/>
      <w:bookmarkStart w:id="13" w:name="_Toc148363695"/>
      <w:r>
        <w:lastRenderedPageBreak/>
        <w:t>Análisis</w:t>
      </w:r>
      <w:r w:rsidR="00482326">
        <w:t xml:space="preserve"> </w:t>
      </w:r>
      <w:r w:rsidR="00C56803">
        <w:t>de competidores</w:t>
      </w:r>
      <w:bookmarkEnd w:id="11"/>
      <w:bookmarkEnd w:id="12"/>
      <w:bookmarkEnd w:id="13"/>
    </w:p>
    <w:p w14:paraId="4D798140" w14:textId="751AA225" w:rsidR="00DE6DE9" w:rsidRPr="00DE6DE9" w:rsidRDefault="00DE6DE9" w:rsidP="00AA76D1">
      <w:r w:rsidRPr="00DE6DE9">
        <w:rPr>
          <w:color w:val="auto"/>
        </w:rPr>
        <w:t xml:space="preserve">Croacia, a pesar de ser rico en recursos hídricos, aún tiene </w:t>
      </w:r>
      <w:r w:rsidRPr="00F15E20">
        <w:rPr>
          <w:b/>
          <w:bCs/>
          <w:color w:val="auto"/>
        </w:rPr>
        <w:t>margen de mejora</w:t>
      </w:r>
      <w:r w:rsidRPr="00DE6DE9">
        <w:rPr>
          <w:color w:val="auto"/>
        </w:rPr>
        <w:t xml:space="preserve"> en su </w:t>
      </w:r>
      <w:r w:rsidRPr="00F15E20">
        <w:rPr>
          <w:b/>
          <w:bCs/>
          <w:color w:val="auto"/>
        </w:rPr>
        <w:t>aprovechamiento</w:t>
      </w:r>
      <w:r w:rsidRPr="00DE6DE9">
        <w:rPr>
          <w:color w:val="auto"/>
        </w:rPr>
        <w:t xml:space="preserve">. La disponibilidad espacial y temporal de agua presenta un desafío, especialmente en áreas costeras e islas. Por ello, el país está enfrascado en </w:t>
      </w:r>
      <w:r w:rsidRPr="00F15E20">
        <w:rPr>
          <w:b/>
          <w:bCs/>
          <w:color w:val="auto"/>
        </w:rPr>
        <w:t>múltiples proyectos</w:t>
      </w:r>
      <w:r w:rsidRPr="00DE6DE9">
        <w:rPr>
          <w:color w:val="auto"/>
        </w:rPr>
        <w:t xml:space="preserve"> destinados a mejorar sus infraestructuras hídricas, con el objetivo de garantizar un acceso equitativo al agua para toda la población.</w:t>
      </w:r>
    </w:p>
    <w:p w14:paraId="13A3D70D" w14:textId="7E288C94" w:rsidR="00733261" w:rsidRPr="00DE6DE9" w:rsidRDefault="00DE6DE9" w:rsidP="00AA76D1">
      <w:pPr>
        <w:rPr>
          <w:color w:val="auto"/>
          <w:lang w:val="es-ES"/>
        </w:rPr>
      </w:pPr>
      <w:r w:rsidRPr="00596108">
        <w:rPr>
          <w:color w:val="auto"/>
        </w:rPr>
        <w:t xml:space="preserve">Desde </w:t>
      </w:r>
      <w:r w:rsidRPr="00DE6DE9">
        <w:rPr>
          <w:color w:val="auto"/>
        </w:rPr>
        <w:t xml:space="preserve">su </w:t>
      </w:r>
      <w:r w:rsidRPr="00596108">
        <w:rPr>
          <w:b/>
          <w:bCs/>
          <w:color w:val="auto"/>
        </w:rPr>
        <w:t>incorporación a la Unión Europea</w:t>
      </w:r>
      <w:r w:rsidRPr="00DE6DE9">
        <w:rPr>
          <w:color w:val="auto"/>
        </w:rPr>
        <w:t xml:space="preserve"> en </w:t>
      </w:r>
      <w:r w:rsidRPr="00F15E20">
        <w:rPr>
          <w:b/>
          <w:bCs/>
          <w:color w:val="auto"/>
        </w:rPr>
        <w:t>2013</w:t>
      </w:r>
      <w:r w:rsidRPr="00DE6DE9">
        <w:rPr>
          <w:color w:val="auto"/>
        </w:rPr>
        <w:t xml:space="preserve">, la situación ha experimentado una </w:t>
      </w:r>
      <w:r w:rsidRPr="00F15E20">
        <w:rPr>
          <w:b/>
          <w:bCs/>
          <w:color w:val="auto"/>
        </w:rPr>
        <w:t>mejoría considerable</w:t>
      </w:r>
      <w:r w:rsidRPr="00DE6DE9">
        <w:rPr>
          <w:color w:val="auto"/>
        </w:rPr>
        <w:t xml:space="preserve">. Esta adhesión ha permitido a Croacia acceder a una </w:t>
      </w:r>
      <w:r w:rsidRPr="00F15E20">
        <w:rPr>
          <w:b/>
          <w:bCs/>
          <w:color w:val="auto"/>
        </w:rPr>
        <w:t>mayor cantidad de fondos</w:t>
      </w:r>
      <w:r w:rsidR="00F15E20">
        <w:rPr>
          <w:color w:val="auto"/>
        </w:rPr>
        <w:t xml:space="preserve"> </w:t>
      </w:r>
      <w:r w:rsidRPr="00F15E20">
        <w:rPr>
          <w:color w:val="auto"/>
        </w:rPr>
        <w:t xml:space="preserve">para </w:t>
      </w:r>
      <w:r w:rsidRPr="00DE6DE9">
        <w:rPr>
          <w:color w:val="auto"/>
        </w:rPr>
        <w:t>la implementación de dichos proyectos. Además, el país ha tenido la oportunidad de alinearse con las directrices de la Unión</w:t>
      </w:r>
      <w:r w:rsidR="00F15E20">
        <w:rPr>
          <w:color w:val="auto"/>
        </w:rPr>
        <w:t xml:space="preserve"> Europea</w:t>
      </w:r>
      <w:r w:rsidRPr="00DE6DE9">
        <w:rPr>
          <w:color w:val="auto"/>
        </w:rPr>
        <w:t xml:space="preserve">, lo que ha facilitado su equiparación con el resto de los </w:t>
      </w:r>
      <w:r w:rsidR="00107DDD">
        <w:rPr>
          <w:color w:val="auto"/>
        </w:rPr>
        <w:t>E</w:t>
      </w:r>
      <w:r w:rsidRPr="00DE6DE9">
        <w:rPr>
          <w:color w:val="auto"/>
        </w:rPr>
        <w:t>stados miembros.</w:t>
      </w:r>
    </w:p>
    <w:p w14:paraId="1EE3F0E7" w14:textId="17560DDE" w:rsidR="00D06883" w:rsidRDefault="00503D96" w:rsidP="00C8052A">
      <w:pPr>
        <w:pStyle w:val="Ttulo2"/>
      </w:pPr>
      <w:bookmarkStart w:id="14" w:name="_Toc148363696"/>
      <w:r>
        <w:t>Principales competidores</w:t>
      </w:r>
      <w:bookmarkEnd w:id="14"/>
    </w:p>
    <w:p w14:paraId="7DC25116" w14:textId="0B64AEEB" w:rsidR="007D50BA" w:rsidRPr="007D50BA" w:rsidRDefault="007D50BA" w:rsidP="00AA76D1">
      <w:pPr>
        <w:rPr>
          <w:color w:val="auto"/>
          <w:lang w:val="es-ES" w:eastAsia="es-ES"/>
        </w:rPr>
      </w:pPr>
      <w:r w:rsidRPr="007D50BA">
        <w:rPr>
          <w:color w:val="auto"/>
          <w:lang w:val="es-ES" w:eastAsia="es-ES"/>
        </w:rPr>
        <w:t xml:space="preserve">En Croacia, los proyectos relacionados con el sector del agua reciben </w:t>
      </w:r>
      <w:r w:rsidRPr="00CB4745">
        <w:rPr>
          <w:b/>
          <w:bCs/>
          <w:color w:val="auto"/>
          <w:lang w:val="es-ES" w:eastAsia="es-ES"/>
        </w:rPr>
        <w:t>financiación</w:t>
      </w:r>
      <w:r w:rsidRPr="007D50BA">
        <w:rPr>
          <w:color w:val="auto"/>
          <w:lang w:val="es-ES" w:eastAsia="es-ES"/>
        </w:rPr>
        <w:t xml:space="preserve"> principalmente a través de </w:t>
      </w:r>
      <w:r w:rsidRPr="00CB4745">
        <w:rPr>
          <w:b/>
          <w:bCs/>
          <w:color w:val="auto"/>
          <w:lang w:val="es-ES" w:eastAsia="es-ES"/>
        </w:rPr>
        <w:t>fondos multilaterales</w:t>
      </w:r>
      <w:r w:rsidRPr="00355D87">
        <w:rPr>
          <w:color w:val="auto"/>
          <w:lang w:val="es-ES" w:eastAsia="es-ES"/>
        </w:rPr>
        <w:t xml:space="preserve">. Entre estos, destacan los </w:t>
      </w:r>
      <w:r w:rsidRPr="00CB4745">
        <w:rPr>
          <w:b/>
          <w:bCs/>
          <w:color w:val="auto"/>
          <w:lang w:val="es-ES" w:eastAsia="es-ES"/>
        </w:rPr>
        <w:t>fondos europeos</w:t>
      </w:r>
      <w:r w:rsidRPr="00355D87">
        <w:rPr>
          <w:color w:val="auto"/>
          <w:lang w:val="es-ES" w:eastAsia="es-ES"/>
        </w:rPr>
        <w:t xml:space="preserve"> del </w:t>
      </w:r>
      <w:r w:rsidR="00355D87" w:rsidRPr="00355D87">
        <w:rPr>
          <w:color w:val="auto"/>
          <w:lang w:val="es-ES" w:eastAsia="es-ES"/>
        </w:rPr>
        <w:t>Programa de Competitividad y Cohesión 2021-2027</w:t>
      </w:r>
      <w:r w:rsidR="00355D87" w:rsidRPr="00355D87">
        <w:rPr>
          <w:rStyle w:val="Refdenotaalpie"/>
          <w:lang w:val="es-ES" w:eastAsia="es-ES"/>
        </w:rPr>
        <w:footnoteReference w:id="9"/>
      </w:r>
      <w:r w:rsidR="00355D87" w:rsidRPr="00355D87">
        <w:rPr>
          <w:color w:val="auto"/>
          <w:lang w:val="es-ES" w:eastAsia="es-ES"/>
        </w:rPr>
        <w:t xml:space="preserve"> </w:t>
      </w:r>
      <w:r w:rsidR="001652B7">
        <w:rPr>
          <w:color w:val="auto"/>
          <w:lang w:val="es-ES" w:eastAsia="es-ES"/>
        </w:rPr>
        <w:t>o</w:t>
      </w:r>
      <w:r w:rsidR="00355D87" w:rsidRPr="00355D87">
        <w:rPr>
          <w:color w:val="auto"/>
          <w:lang w:val="es-ES" w:eastAsia="es-ES"/>
        </w:rPr>
        <w:t xml:space="preserve"> el Programa Territorial Integrado 2021-2027</w:t>
      </w:r>
      <w:r w:rsidR="00355D87">
        <w:rPr>
          <w:rStyle w:val="Refdenotaalpie"/>
          <w:lang w:val="es-ES" w:eastAsia="es-ES"/>
        </w:rPr>
        <w:footnoteReference w:id="10"/>
      </w:r>
      <w:r w:rsidR="00DF6C5E">
        <w:rPr>
          <w:color w:val="auto"/>
          <w:lang w:val="es-ES" w:eastAsia="es-ES"/>
        </w:rPr>
        <w:t>.</w:t>
      </w:r>
      <w:r w:rsidRPr="007D50BA">
        <w:rPr>
          <w:color w:val="auto"/>
          <w:lang w:val="es-ES" w:eastAsia="es-ES"/>
        </w:rPr>
        <w:t xml:space="preserve"> A pesar de </w:t>
      </w:r>
      <w:r w:rsidRPr="00CB4745">
        <w:rPr>
          <w:color w:val="auto"/>
          <w:lang w:val="es-ES" w:eastAsia="es-ES"/>
        </w:rPr>
        <w:t xml:space="preserve">que en estas </w:t>
      </w:r>
      <w:r w:rsidRPr="00CB4745">
        <w:rPr>
          <w:b/>
          <w:bCs/>
          <w:color w:val="auto"/>
          <w:lang w:val="es-ES" w:eastAsia="es-ES"/>
        </w:rPr>
        <w:t>licitaciones</w:t>
      </w:r>
      <w:r w:rsidRPr="00CB4745">
        <w:rPr>
          <w:color w:val="auto"/>
          <w:lang w:val="es-ES" w:eastAsia="es-ES"/>
        </w:rPr>
        <w:t xml:space="preserve"> participan empresas tanto locales como internacionales, se</w:t>
      </w:r>
      <w:r w:rsidRPr="007D50BA">
        <w:rPr>
          <w:color w:val="auto"/>
          <w:lang w:val="es-ES" w:eastAsia="es-ES"/>
        </w:rPr>
        <w:t xml:space="preserve"> tiende a dar </w:t>
      </w:r>
      <w:r w:rsidRPr="00A04252">
        <w:rPr>
          <w:b/>
          <w:bCs/>
          <w:color w:val="auto"/>
          <w:lang w:val="es-ES" w:eastAsia="es-ES"/>
        </w:rPr>
        <w:t>preferencia a las compañías domésticas</w:t>
      </w:r>
      <w:r w:rsidRPr="007D50BA">
        <w:rPr>
          <w:color w:val="auto"/>
          <w:lang w:val="es-ES" w:eastAsia="es-ES"/>
        </w:rPr>
        <w:t xml:space="preserve"> como medida de impulso económico.</w:t>
      </w:r>
    </w:p>
    <w:p w14:paraId="7252D898" w14:textId="188DDFDB" w:rsidR="007D50BA" w:rsidRPr="007D50BA" w:rsidRDefault="007D50BA" w:rsidP="00AA76D1">
      <w:pPr>
        <w:rPr>
          <w:color w:val="auto"/>
          <w:lang w:val="es-ES" w:eastAsia="es-ES"/>
        </w:rPr>
      </w:pPr>
      <w:r w:rsidRPr="00FF1CCE">
        <w:rPr>
          <w:color w:val="auto"/>
          <w:lang w:val="es-ES" w:eastAsia="es-ES"/>
        </w:rPr>
        <w:t>Diversos países europeos,</w:t>
      </w:r>
      <w:r w:rsidRPr="007D50BA">
        <w:rPr>
          <w:color w:val="auto"/>
          <w:lang w:val="es-ES" w:eastAsia="es-ES"/>
        </w:rPr>
        <w:t xml:space="preserve"> como </w:t>
      </w:r>
      <w:r w:rsidRPr="00FF1CCE">
        <w:rPr>
          <w:b/>
          <w:bCs/>
          <w:color w:val="auto"/>
          <w:lang w:val="es-ES" w:eastAsia="es-ES"/>
        </w:rPr>
        <w:t>Francia</w:t>
      </w:r>
      <w:r w:rsidRPr="007D50BA">
        <w:rPr>
          <w:color w:val="auto"/>
          <w:lang w:val="es-ES" w:eastAsia="es-ES"/>
        </w:rPr>
        <w:t xml:space="preserve">, </w:t>
      </w:r>
      <w:r w:rsidRPr="00FF1CCE">
        <w:rPr>
          <w:b/>
          <w:bCs/>
          <w:color w:val="auto"/>
          <w:lang w:val="es-ES" w:eastAsia="es-ES"/>
        </w:rPr>
        <w:t>Suiza</w:t>
      </w:r>
      <w:r w:rsidRPr="007D50BA">
        <w:rPr>
          <w:color w:val="auto"/>
          <w:lang w:val="es-ES" w:eastAsia="es-ES"/>
        </w:rPr>
        <w:t xml:space="preserve">, </w:t>
      </w:r>
      <w:r w:rsidRPr="00FF1CCE">
        <w:rPr>
          <w:b/>
          <w:bCs/>
          <w:color w:val="auto"/>
          <w:lang w:val="es-ES" w:eastAsia="es-ES"/>
        </w:rPr>
        <w:t>Alemania</w:t>
      </w:r>
      <w:r w:rsidRPr="007D50BA">
        <w:rPr>
          <w:color w:val="auto"/>
          <w:lang w:val="es-ES" w:eastAsia="es-ES"/>
        </w:rPr>
        <w:t xml:space="preserve">, </w:t>
      </w:r>
      <w:r w:rsidRPr="00FF1CCE">
        <w:rPr>
          <w:b/>
          <w:bCs/>
          <w:color w:val="auto"/>
          <w:lang w:val="es-ES" w:eastAsia="es-ES"/>
        </w:rPr>
        <w:t>Austria</w:t>
      </w:r>
      <w:r w:rsidRPr="007D50BA">
        <w:rPr>
          <w:color w:val="auto"/>
          <w:lang w:val="es-ES" w:eastAsia="es-ES"/>
        </w:rPr>
        <w:t xml:space="preserve"> e </w:t>
      </w:r>
      <w:r w:rsidRPr="00FF1CCE">
        <w:rPr>
          <w:b/>
          <w:bCs/>
          <w:color w:val="auto"/>
          <w:lang w:val="es-ES" w:eastAsia="es-ES"/>
        </w:rPr>
        <w:t>Italia</w:t>
      </w:r>
      <w:r w:rsidRPr="007D50BA">
        <w:rPr>
          <w:color w:val="auto"/>
          <w:lang w:val="es-ES" w:eastAsia="es-ES"/>
        </w:rPr>
        <w:t xml:space="preserve">, han establecido </w:t>
      </w:r>
      <w:r w:rsidRPr="00CB4745">
        <w:rPr>
          <w:b/>
          <w:bCs/>
          <w:color w:val="auto"/>
          <w:lang w:val="es-ES" w:eastAsia="es-ES"/>
        </w:rPr>
        <w:t>colaboraciones históricas</w:t>
      </w:r>
      <w:r w:rsidRPr="007D50BA">
        <w:rPr>
          <w:color w:val="auto"/>
          <w:lang w:val="es-ES" w:eastAsia="es-ES"/>
        </w:rPr>
        <w:t xml:space="preserve"> con Croacia en la realización de proyectos de infraestructura en el sector del agua.</w:t>
      </w:r>
      <w:r w:rsidR="00931B41">
        <w:rPr>
          <w:color w:val="auto"/>
          <w:lang w:val="es-ES" w:eastAsia="es-ES"/>
        </w:rPr>
        <w:t xml:space="preserve"> </w:t>
      </w:r>
      <w:r w:rsidRPr="007D50BA">
        <w:rPr>
          <w:color w:val="auto"/>
          <w:lang w:val="es-ES" w:eastAsia="es-ES"/>
        </w:rPr>
        <w:t xml:space="preserve">La empresa francesa </w:t>
      </w:r>
      <w:hyperlink r:id="rId20" w:history="1">
        <w:r w:rsidRPr="00843555">
          <w:rPr>
            <w:rStyle w:val="Hipervnculo"/>
            <w:b/>
            <w:bCs/>
            <w:lang w:val="es-ES" w:eastAsia="es-ES"/>
          </w:rPr>
          <w:t>Degrémont</w:t>
        </w:r>
      </w:hyperlink>
      <w:r w:rsidRPr="007D50BA">
        <w:rPr>
          <w:color w:val="auto"/>
          <w:lang w:val="es-ES" w:eastAsia="es-ES"/>
        </w:rPr>
        <w:t xml:space="preserve"> es un ejemplo de este tipo de colaboraciones, habiendo obtenido contratos para la construcción de plantas de tratamiento en Poreč, Osijek y Vukovar en los últimos años.</w:t>
      </w:r>
      <w:r w:rsidR="00921791">
        <w:rPr>
          <w:color w:val="auto"/>
          <w:lang w:val="es-ES" w:eastAsia="es-ES"/>
        </w:rPr>
        <w:t xml:space="preserve"> </w:t>
      </w:r>
      <w:r w:rsidR="00843555" w:rsidRPr="00843555">
        <w:rPr>
          <w:color w:val="auto"/>
          <w:lang w:val="es-ES" w:eastAsia="es-ES"/>
        </w:rPr>
        <w:t>Además, otra entidad</w:t>
      </w:r>
      <w:r w:rsidR="00843555">
        <w:rPr>
          <w:color w:val="auto"/>
          <w:lang w:val="es-ES" w:eastAsia="es-ES"/>
        </w:rPr>
        <w:t xml:space="preserve"> destacada</w:t>
      </w:r>
      <w:r w:rsidR="00843555" w:rsidRPr="00843555">
        <w:rPr>
          <w:color w:val="auto"/>
          <w:lang w:val="es-ES" w:eastAsia="es-ES"/>
        </w:rPr>
        <w:t xml:space="preserve"> presente en el país es la compañía austr</w:t>
      </w:r>
      <w:r w:rsidR="00390115">
        <w:rPr>
          <w:color w:val="auto"/>
          <w:lang w:val="es-ES" w:eastAsia="es-ES"/>
        </w:rPr>
        <w:t>í</w:t>
      </w:r>
      <w:r w:rsidR="00843555" w:rsidRPr="00843555">
        <w:rPr>
          <w:color w:val="auto"/>
          <w:lang w:val="es-ES" w:eastAsia="es-ES"/>
        </w:rPr>
        <w:t xml:space="preserve">aca </w:t>
      </w:r>
      <w:hyperlink r:id="rId21" w:history="1">
        <w:r w:rsidR="00843555" w:rsidRPr="00390115">
          <w:rPr>
            <w:rStyle w:val="Hipervnculo"/>
            <w:b/>
            <w:bCs/>
            <w:lang w:val="es-ES" w:eastAsia="es-ES"/>
          </w:rPr>
          <w:t>SWIETELSKY</w:t>
        </w:r>
      </w:hyperlink>
      <w:r w:rsidR="00843555">
        <w:rPr>
          <w:color w:val="auto"/>
          <w:lang w:val="es-ES" w:eastAsia="es-ES"/>
        </w:rPr>
        <w:t xml:space="preserve">. </w:t>
      </w:r>
      <w:r w:rsidRPr="007D50BA">
        <w:rPr>
          <w:color w:val="auto"/>
          <w:lang w:val="es-ES" w:eastAsia="es-ES"/>
        </w:rPr>
        <w:t xml:space="preserve">Sin embargo, cada vez </w:t>
      </w:r>
      <w:r w:rsidRPr="001B0376">
        <w:rPr>
          <w:b/>
          <w:bCs/>
          <w:color w:val="auto"/>
          <w:lang w:val="es-ES" w:eastAsia="es-ES"/>
        </w:rPr>
        <w:t>más</w:t>
      </w:r>
      <w:r w:rsidRPr="007D50BA">
        <w:rPr>
          <w:color w:val="auto"/>
          <w:lang w:val="es-ES" w:eastAsia="es-ES"/>
        </w:rPr>
        <w:t xml:space="preserve"> empresas de fuera de la Unión Europea, como las de </w:t>
      </w:r>
      <w:r w:rsidRPr="00CB4745">
        <w:rPr>
          <w:b/>
          <w:bCs/>
          <w:color w:val="auto"/>
          <w:lang w:val="es-ES" w:eastAsia="es-ES"/>
        </w:rPr>
        <w:t>China</w:t>
      </w:r>
      <w:r w:rsidRPr="007D50BA">
        <w:rPr>
          <w:color w:val="auto"/>
          <w:lang w:val="es-ES" w:eastAsia="es-ES"/>
        </w:rPr>
        <w:t xml:space="preserve"> y </w:t>
      </w:r>
      <w:r w:rsidRPr="00CB4745">
        <w:rPr>
          <w:b/>
          <w:bCs/>
          <w:color w:val="auto"/>
          <w:lang w:val="es-ES" w:eastAsia="es-ES"/>
        </w:rPr>
        <w:t>Turquía</w:t>
      </w:r>
      <w:r w:rsidRPr="007D50BA">
        <w:rPr>
          <w:color w:val="auto"/>
          <w:lang w:val="es-ES" w:eastAsia="es-ES"/>
        </w:rPr>
        <w:t>, están participando en estos proyectos.</w:t>
      </w:r>
    </w:p>
    <w:p w14:paraId="5D9A978C" w14:textId="6809155E" w:rsidR="007D50BA" w:rsidRPr="007D50BA" w:rsidRDefault="007D50BA" w:rsidP="00AA76D1">
      <w:pPr>
        <w:rPr>
          <w:color w:val="auto"/>
          <w:lang w:val="es-ES" w:eastAsia="es-ES"/>
        </w:rPr>
      </w:pPr>
      <w:r w:rsidRPr="007D50BA">
        <w:rPr>
          <w:color w:val="auto"/>
          <w:lang w:val="es-ES" w:eastAsia="es-ES"/>
        </w:rPr>
        <w:t xml:space="preserve">Es importante señalar que estas empresas extranjeras suelen mantener su </w:t>
      </w:r>
      <w:r w:rsidRPr="00CB4745">
        <w:rPr>
          <w:b/>
          <w:bCs/>
          <w:color w:val="auto"/>
          <w:lang w:val="es-ES" w:eastAsia="es-ES"/>
        </w:rPr>
        <w:t>presencia</w:t>
      </w:r>
      <w:r w:rsidRPr="007D50BA">
        <w:rPr>
          <w:color w:val="auto"/>
          <w:lang w:val="es-ES" w:eastAsia="es-ES"/>
        </w:rPr>
        <w:t xml:space="preserve"> en Croacia a través de </w:t>
      </w:r>
      <w:r w:rsidRPr="00CB4745">
        <w:rPr>
          <w:b/>
          <w:bCs/>
          <w:color w:val="auto"/>
          <w:lang w:val="es-ES" w:eastAsia="es-ES"/>
        </w:rPr>
        <w:t>dos vías principales</w:t>
      </w:r>
      <w:r w:rsidRPr="007D50BA">
        <w:rPr>
          <w:color w:val="auto"/>
          <w:lang w:val="es-ES" w:eastAsia="es-ES"/>
        </w:rPr>
        <w:t xml:space="preserve">: la </w:t>
      </w:r>
      <w:r w:rsidRPr="00CB4745">
        <w:rPr>
          <w:b/>
          <w:bCs/>
          <w:color w:val="auto"/>
          <w:lang w:val="es-ES" w:eastAsia="es-ES"/>
        </w:rPr>
        <w:t>creación de filiales</w:t>
      </w:r>
      <w:r w:rsidRPr="007D50BA">
        <w:rPr>
          <w:color w:val="auto"/>
          <w:lang w:val="es-ES" w:eastAsia="es-ES"/>
        </w:rPr>
        <w:t xml:space="preserve"> en el país o la </w:t>
      </w:r>
      <w:r w:rsidRPr="00CB4745">
        <w:rPr>
          <w:b/>
          <w:bCs/>
          <w:color w:val="auto"/>
          <w:lang w:val="es-ES" w:eastAsia="es-ES"/>
        </w:rPr>
        <w:t>adquisición de empresas</w:t>
      </w:r>
      <w:r w:rsidRPr="007D50BA">
        <w:rPr>
          <w:color w:val="auto"/>
          <w:lang w:val="es-ES" w:eastAsia="es-ES"/>
        </w:rPr>
        <w:t xml:space="preserve"> croatas. Esta presencia local les proporciona una ventaja significativa para ser adjudicatarias de licitaciones para futuros proyectos.</w:t>
      </w:r>
    </w:p>
    <w:p w14:paraId="49572310" w14:textId="5BDB56FB" w:rsidR="007D50BA" w:rsidRPr="007D50BA" w:rsidRDefault="007D50BA" w:rsidP="00AA76D1">
      <w:pPr>
        <w:rPr>
          <w:color w:val="auto"/>
          <w:lang w:val="es-ES" w:eastAsia="es-ES"/>
        </w:rPr>
      </w:pPr>
      <w:r w:rsidRPr="007D50BA">
        <w:rPr>
          <w:color w:val="auto"/>
          <w:lang w:val="es-ES" w:eastAsia="es-ES"/>
        </w:rPr>
        <w:lastRenderedPageBreak/>
        <w:t xml:space="preserve">La </w:t>
      </w:r>
      <w:r w:rsidRPr="00CB4745">
        <w:rPr>
          <w:b/>
          <w:bCs/>
          <w:color w:val="auto"/>
          <w:lang w:val="es-ES" w:eastAsia="es-ES"/>
        </w:rPr>
        <w:t>presencia</w:t>
      </w:r>
      <w:r w:rsidRPr="007D50BA">
        <w:rPr>
          <w:color w:val="auto"/>
          <w:lang w:val="es-ES" w:eastAsia="es-ES"/>
        </w:rPr>
        <w:t xml:space="preserve"> de </w:t>
      </w:r>
      <w:r w:rsidRPr="00CB4745">
        <w:rPr>
          <w:b/>
          <w:bCs/>
          <w:color w:val="auto"/>
          <w:lang w:val="es-ES" w:eastAsia="es-ES"/>
        </w:rPr>
        <w:t>empresas españolas</w:t>
      </w:r>
      <w:r w:rsidRPr="007D50BA">
        <w:rPr>
          <w:color w:val="auto"/>
          <w:lang w:val="es-ES" w:eastAsia="es-ES"/>
        </w:rPr>
        <w:t xml:space="preserve"> en el sector hídrico croata, aunque no muy destacada, es notable en casos como el de </w:t>
      </w:r>
      <w:r w:rsidRPr="00CB4745">
        <w:rPr>
          <w:b/>
          <w:bCs/>
          <w:color w:val="auto"/>
          <w:lang w:val="es-ES" w:eastAsia="es-ES"/>
        </w:rPr>
        <w:t>E</w:t>
      </w:r>
      <w:r w:rsidR="00FD7F42">
        <w:rPr>
          <w:b/>
          <w:bCs/>
          <w:color w:val="auto"/>
          <w:lang w:val="es-ES" w:eastAsia="es-ES"/>
        </w:rPr>
        <w:t>PTISA</w:t>
      </w:r>
      <w:r w:rsidRPr="007D50BA">
        <w:rPr>
          <w:color w:val="auto"/>
          <w:lang w:val="es-ES" w:eastAsia="es-ES"/>
        </w:rPr>
        <w:t>, compañía que ha participado activamente en proyectos hídricos en el país.</w:t>
      </w:r>
    </w:p>
    <w:p w14:paraId="5B5EBFE2" w14:textId="1C3CB22E" w:rsidR="00A02A2B" w:rsidRDefault="003B329B" w:rsidP="00AA76D1">
      <w:pPr>
        <w:rPr>
          <w:color w:val="auto"/>
          <w:lang w:val="es-ES" w:eastAsia="es-ES"/>
        </w:rPr>
      </w:pPr>
      <w:r>
        <w:rPr>
          <w:color w:val="auto"/>
          <w:lang w:val="es-ES" w:eastAsia="es-ES"/>
        </w:rPr>
        <w:t>P</w:t>
      </w:r>
      <w:r w:rsidR="00E566E0">
        <w:rPr>
          <w:color w:val="auto"/>
          <w:lang w:val="es-ES" w:eastAsia="es-ES"/>
        </w:rPr>
        <w:t>or último</w:t>
      </w:r>
      <w:r w:rsidR="00E566E0" w:rsidRPr="00E566E0">
        <w:rPr>
          <w:color w:val="auto"/>
          <w:lang w:val="es-ES" w:eastAsia="es-ES"/>
        </w:rPr>
        <w:t xml:space="preserve">, </w:t>
      </w:r>
      <w:r w:rsidR="00B00C39">
        <w:rPr>
          <w:color w:val="auto"/>
          <w:lang w:val="es-ES" w:eastAsia="es-ES"/>
        </w:rPr>
        <w:t>p</w:t>
      </w:r>
      <w:r w:rsidR="00B00C39" w:rsidRPr="00B00C39">
        <w:rPr>
          <w:color w:val="auto"/>
          <w:lang w:val="es-ES" w:eastAsia="es-ES"/>
        </w:rPr>
        <w:t>ara concluir</w:t>
      </w:r>
      <w:r w:rsidR="00B00C39">
        <w:rPr>
          <w:color w:val="auto"/>
          <w:lang w:val="es-ES" w:eastAsia="es-ES"/>
        </w:rPr>
        <w:t xml:space="preserve"> este apartado</w:t>
      </w:r>
      <w:r w:rsidR="00B00C39" w:rsidRPr="00B00C39">
        <w:rPr>
          <w:color w:val="auto"/>
          <w:lang w:val="es-ES" w:eastAsia="es-ES"/>
        </w:rPr>
        <w:t xml:space="preserve">, se proporcionan dos </w:t>
      </w:r>
      <w:r w:rsidR="00B00C39">
        <w:rPr>
          <w:color w:val="auto"/>
          <w:lang w:val="es-ES" w:eastAsia="es-ES"/>
        </w:rPr>
        <w:t>listados</w:t>
      </w:r>
      <w:r w:rsidR="00B00C39" w:rsidRPr="00B00C39">
        <w:rPr>
          <w:color w:val="auto"/>
          <w:lang w:val="es-ES" w:eastAsia="es-ES"/>
        </w:rPr>
        <w:t xml:space="preserve">. El primer </w:t>
      </w:r>
      <w:r w:rsidR="00B00C39">
        <w:rPr>
          <w:color w:val="auto"/>
          <w:lang w:val="es-ES" w:eastAsia="es-ES"/>
        </w:rPr>
        <w:t>listado</w:t>
      </w:r>
      <w:r w:rsidR="00B00C39" w:rsidRPr="00B00C39">
        <w:rPr>
          <w:color w:val="auto"/>
          <w:lang w:val="es-ES" w:eastAsia="es-ES"/>
        </w:rPr>
        <w:t xml:space="preserve"> </w:t>
      </w:r>
      <w:r w:rsidR="00B00C39">
        <w:rPr>
          <w:color w:val="auto"/>
          <w:lang w:val="es-ES" w:eastAsia="es-ES"/>
        </w:rPr>
        <w:t>proporciona varias</w:t>
      </w:r>
      <w:r w:rsidR="00B00C39" w:rsidRPr="00B00C39">
        <w:rPr>
          <w:color w:val="auto"/>
          <w:lang w:val="es-ES" w:eastAsia="es-ES"/>
        </w:rPr>
        <w:t xml:space="preserve"> </w:t>
      </w:r>
      <w:r w:rsidR="00B00C39" w:rsidRPr="00B00C39">
        <w:rPr>
          <w:b/>
          <w:bCs/>
          <w:color w:val="auto"/>
          <w:lang w:val="es-ES" w:eastAsia="es-ES"/>
        </w:rPr>
        <w:t>empresas de consultoría croatas</w:t>
      </w:r>
      <w:r w:rsidR="00B00C39" w:rsidRPr="00B00C39">
        <w:rPr>
          <w:color w:val="auto"/>
          <w:lang w:val="es-ES" w:eastAsia="es-ES"/>
        </w:rPr>
        <w:t xml:space="preserve"> que están activas en el sector del agua. El segundo </w:t>
      </w:r>
      <w:r w:rsidR="00B00C39">
        <w:rPr>
          <w:color w:val="auto"/>
          <w:lang w:val="es-ES" w:eastAsia="es-ES"/>
        </w:rPr>
        <w:t>listado</w:t>
      </w:r>
      <w:r w:rsidR="00B00C39" w:rsidRPr="00B00C39">
        <w:rPr>
          <w:color w:val="auto"/>
          <w:lang w:val="es-ES" w:eastAsia="es-ES"/>
        </w:rPr>
        <w:t xml:space="preserve"> </w:t>
      </w:r>
      <w:r w:rsidR="00B00C39">
        <w:rPr>
          <w:color w:val="auto"/>
          <w:lang w:val="es-ES" w:eastAsia="es-ES"/>
        </w:rPr>
        <w:t>muestra</w:t>
      </w:r>
      <w:r w:rsidR="00B00C39" w:rsidRPr="00B00C39">
        <w:rPr>
          <w:color w:val="auto"/>
          <w:lang w:val="es-ES" w:eastAsia="es-ES"/>
        </w:rPr>
        <w:t xml:space="preserve"> algunas de las </w:t>
      </w:r>
      <w:r w:rsidR="00B00C39" w:rsidRPr="00B00C39">
        <w:rPr>
          <w:b/>
          <w:bCs/>
          <w:color w:val="auto"/>
          <w:lang w:val="es-ES" w:eastAsia="es-ES"/>
        </w:rPr>
        <w:t>compañías más importantes</w:t>
      </w:r>
      <w:r w:rsidR="00B00C39" w:rsidRPr="00B00C39">
        <w:rPr>
          <w:color w:val="auto"/>
          <w:lang w:val="es-ES" w:eastAsia="es-ES"/>
        </w:rPr>
        <w:t xml:space="preserve"> de Croacia que se dedican al desarrollo y gestión integral del mencionado sector.</w:t>
      </w:r>
    </w:p>
    <w:p w14:paraId="4BCD0615" w14:textId="78FD995F" w:rsidR="00370340" w:rsidRDefault="00370340" w:rsidP="00370340">
      <w:pPr>
        <w:pStyle w:val="TtuloTablas"/>
        <w:rPr>
          <w:lang w:eastAsia="es-ES_tradnl"/>
        </w:rPr>
      </w:pPr>
      <w:r>
        <w:rPr>
          <w:lang w:eastAsia="es-ES_tradnl"/>
        </w:rPr>
        <w:t>Tabla</w:t>
      </w:r>
      <w:r w:rsidR="00B46777">
        <w:rPr>
          <w:lang w:eastAsia="es-ES_tradnl"/>
        </w:rPr>
        <w:t xml:space="preserve"> </w:t>
      </w:r>
      <w:r w:rsidR="007168AC">
        <w:rPr>
          <w:lang w:eastAsia="es-ES_tradnl"/>
        </w:rPr>
        <w:t>1</w:t>
      </w:r>
      <w:r w:rsidR="00B46777">
        <w:rPr>
          <w:lang w:eastAsia="es-ES_tradnl"/>
        </w:rPr>
        <w:t>:</w:t>
      </w:r>
      <w:r w:rsidR="00E566E0">
        <w:rPr>
          <w:lang w:eastAsia="es-ES_tradnl"/>
        </w:rPr>
        <w:t xml:space="preserve"> </w:t>
      </w:r>
      <w:r>
        <w:rPr>
          <w:lang w:eastAsia="es-ES_tradnl"/>
        </w:rPr>
        <w:t xml:space="preserve">Empresas consultoras </w:t>
      </w:r>
      <w:r w:rsidR="00E566E0">
        <w:rPr>
          <w:lang w:eastAsia="es-ES_tradnl"/>
        </w:rPr>
        <w:t xml:space="preserve">del sector </w:t>
      </w:r>
      <w:r>
        <w:rPr>
          <w:lang w:eastAsia="es-ES_tradnl"/>
        </w:rPr>
        <w:t>en croacia</w:t>
      </w:r>
    </w:p>
    <w:p w14:paraId="28F42324" w14:textId="77777777" w:rsidR="009D191B" w:rsidRPr="009D191B" w:rsidRDefault="009D191B" w:rsidP="009D191B">
      <w:pPr>
        <w:rPr>
          <w:sz w:val="4"/>
          <w:szCs w:val="6"/>
          <w:lang w:eastAsia="es-ES_tradnl"/>
        </w:rPr>
      </w:pPr>
    </w:p>
    <w:tbl>
      <w:tblPr>
        <w:tblStyle w:val="Tabladelista2-nfasis1"/>
        <w:tblW w:w="0" w:type="auto"/>
        <w:tblLook w:val="0620" w:firstRow="1" w:lastRow="0" w:firstColumn="0" w:lastColumn="0" w:noHBand="1" w:noVBand="1"/>
      </w:tblPr>
      <w:tblGrid>
        <w:gridCol w:w="2177"/>
        <w:gridCol w:w="7455"/>
      </w:tblGrid>
      <w:tr w:rsidR="002E2D3B" w14:paraId="2503B20A" w14:textId="77777777" w:rsidTr="00DF6C5E">
        <w:trPr>
          <w:cnfStyle w:val="100000000000" w:firstRow="1" w:lastRow="0" w:firstColumn="0" w:lastColumn="0" w:oddVBand="0" w:evenVBand="0" w:oddHBand="0" w:evenHBand="0" w:firstRowFirstColumn="0" w:firstRowLastColumn="0" w:lastRowFirstColumn="0" w:lastRowLastColumn="0"/>
          <w:trHeight w:val="446"/>
        </w:trPr>
        <w:tc>
          <w:tcPr>
            <w:tcW w:w="0" w:type="auto"/>
            <w:tcBorders>
              <w:top w:val="nil"/>
              <w:bottom w:val="single" w:sz="12" w:space="0" w:color="E2231A" w:themeColor="accent1"/>
            </w:tcBorders>
            <w:vAlign w:val="center"/>
          </w:tcPr>
          <w:p w14:paraId="55454F4F" w14:textId="61DE60CC" w:rsidR="00370340" w:rsidRPr="00AD1F91" w:rsidRDefault="00370340" w:rsidP="009F3C54">
            <w:pPr>
              <w:pStyle w:val="Rango1Tablas"/>
              <w:jc w:val="center"/>
              <w:rPr>
                <w:vertAlign w:val="superscript"/>
              </w:rPr>
            </w:pPr>
            <w:r>
              <w:t>EMPRESAS</w:t>
            </w:r>
          </w:p>
        </w:tc>
        <w:tc>
          <w:tcPr>
            <w:tcW w:w="0" w:type="auto"/>
            <w:tcBorders>
              <w:top w:val="nil"/>
              <w:bottom w:val="single" w:sz="12" w:space="0" w:color="E2231A" w:themeColor="accent1"/>
            </w:tcBorders>
            <w:vAlign w:val="center"/>
          </w:tcPr>
          <w:p w14:paraId="5F006A0E" w14:textId="1796B3D6" w:rsidR="00370340" w:rsidRPr="00C56803" w:rsidRDefault="00EF5573" w:rsidP="00EF5573">
            <w:pPr>
              <w:pStyle w:val="Rango1Tablas"/>
              <w:jc w:val="center"/>
            </w:pPr>
            <w:r>
              <w:t>DESCRIPCIÓN</w:t>
            </w:r>
          </w:p>
        </w:tc>
      </w:tr>
      <w:tr w:rsidR="0085556B" w14:paraId="1D0113D7" w14:textId="77777777" w:rsidTr="0085556B">
        <w:trPr>
          <w:trHeight w:val="610"/>
        </w:trPr>
        <w:tc>
          <w:tcPr>
            <w:tcW w:w="0" w:type="auto"/>
            <w:vAlign w:val="center"/>
          </w:tcPr>
          <w:p w14:paraId="19D1E6A1" w14:textId="56336EB3" w:rsidR="00370340" w:rsidRPr="00DF6C5E" w:rsidRDefault="00370340" w:rsidP="009F3C54">
            <w:pPr>
              <w:pStyle w:val="DatosTabla"/>
              <w:jc w:val="center"/>
              <w:rPr>
                <w:b/>
                <w:bCs/>
                <w:szCs w:val="18"/>
              </w:rPr>
            </w:pPr>
            <w:r w:rsidRPr="00DF6C5E">
              <w:rPr>
                <w:b/>
                <w:bCs/>
                <w:szCs w:val="18"/>
              </w:rPr>
              <w:t xml:space="preserve">PROMACON </w:t>
            </w:r>
            <w:r w:rsidR="007168AC" w:rsidRPr="00DF6C5E">
              <w:rPr>
                <w:b/>
                <w:bCs/>
                <w:szCs w:val="18"/>
              </w:rPr>
              <w:t>d.o.o.</w:t>
            </w:r>
          </w:p>
        </w:tc>
        <w:tc>
          <w:tcPr>
            <w:tcW w:w="0" w:type="auto"/>
            <w:vAlign w:val="center"/>
          </w:tcPr>
          <w:p w14:paraId="24895C6C" w14:textId="1CD56522" w:rsidR="00370340" w:rsidRPr="00DF6C5E" w:rsidRDefault="002E2D3B" w:rsidP="00DF6C5E">
            <w:pPr>
              <w:pStyle w:val="Prrafodelista"/>
              <w:numPr>
                <w:ilvl w:val="0"/>
                <w:numId w:val="0"/>
              </w:numPr>
              <w:ind w:left="720"/>
              <w:rPr>
                <w:sz w:val="18"/>
                <w:szCs w:val="18"/>
                <w:lang w:val="es-ES" w:eastAsia="es-ES"/>
              </w:rPr>
            </w:pPr>
            <w:r>
              <w:rPr>
                <w:sz w:val="18"/>
                <w:szCs w:val="18"/>
                <w:lang w:val="es-ES" w:eastAsia="es-ES"/>
              </w:rPr>
              <w:t>Compañía f</w:t>
            </w:r>
            <w:r w:rsidR="007168AC" w:rsidRPr="00DF6C5E">
              <w:rPr>
                <w:sz w:val="18"/>
                <w:szCs w:val="18"/>
                <w:lang w:val="es-ES" w:eastAsia="es-ES"/>
              </w:rPr>
              <w:t>undada en 2007 y ubicada en Stare Plavnice, Bjelovar</w:t>
            </w:r>
            <w:r>
              <w:rPr>
                <w:sz w:val="18"/>
                <w:szCs w:val="18"/>
                <w:lang w:val="es-ES" w:eastAsia="es-ES"/>
              </w:rPr>
              <w:t xml:space="preserve">. </w:t>
            </w:r>
            <w:r w:rsidR="007168AC" w:rsidRPr="00DF6C5E">
              <w:rPr>
                <w:sz w:val="18"/>
                <w:szCs w:val="18"/>
                <w:lang w:val="es-ES" w:eastAsia="es-ES"/>
              </w:rPr>
              <w:t>Su especialidad radica en la consultoría y gestión empresarial.</w:t>
            </w:r>
          </w:p>
        </w:tc>
      </w:tr>
      <w:tr w:rsidR="0085556B" w14:paraId="66B47A0A" w14:textId="77777777" w:rsidTr="0085556B">
        <w:trPr>
          <w:trHeight w:val="824"/>
        </w:trPr>
        <w:tc>
          <w:tcPr>
            <w:tcW w:w="0" w:type="auto"/>
            <w:vAlign w:val="center"/>
          </w:tcPr>
          <w:p w14:paraId="4D62EA55" w14:textId="516E3B54" w:rsidR="00370340" w:rsidRPr="00DF6C5E" w:rsidRDefault="00370340" w:rsidP="009F3C54">
            <w:pPr>
              <w:pStyle w:val="DatosTabla"/>
              <w:jc w:val="center"/>
              <w:rPr>
                <w:b/>
                <w:bCs/>
                <w:szCs w:val="18"/>
              </w:rPr>
            </w:pPr>
            <w:r w:rsidRPr="00DF6C5E">
              <w:rPr>
                <w:b/>
                <w:bCs/>
                <w:szCs w:val="18"/>
              </w:rPr>
              <w:t xml:space="preserve">DONAT </w:t>
            </w:r>
            <w:r w:rsidR="007168AC" w:rsidRPr="00DF6C5E">
              <w:rPr>
                <w:b/>
                <w:bCs/>
                <w:szCs w:val="18"/>
              </w:rPr>
              <w:t>d.o.o.</w:t>
            </w:r>
          </w:p>
        </w:tc>
        <w:tc>
          <w:tcPr>
            <w:tcW w:w="0" w:type="auto"/>
            <w:vAlign w:val="center"/>
          </w:tcPr>
          <w:p w14:paraId="66C4A6CD" w14:textId="6946EF7C" w:rsidR="00370340" w:rsidRPr="00DF6C5E" w:rsidRDefault="007168AC" w:rsidP="00DF6C5E">
            <w:pPr>
              <w:pStyle w:val="Prrafodelista"/>
              <w:numPr>
                <w:ilvl w:val="0"/>
                <w:numId w:val="0"/>
              </w:numPr>
              <w:ind w:left="720"/>
              <w:rPr>
                <w:sz w:val="18"/>
                <w:szCs w:val="18"/>
              </w:rPr>
            </w:pPr>
            <w:r w:rsidRPr="00DF6C5E">
              <w:rPr>
                <w:sz w:val="18"/>
                <w:szCs w:val="18"/>
                <w:lang w:val="es-ES" w:eastAsia="es-ES"/>
              </w:rPr>
              <w:t xml:space="preserve">Con origen en 1953 y sede en Zadar, esta empresa se dedica a </w:t>
            </w:r>
            <w:r w:rsidR="002E2D3B">
              <w:rPr>
                <w:sz w:val="18"/>
                <w:szCs w:val="18"/>
                <w:lang w:val="es-ES" w:eastAsia="es-ES"/>
              </w:rPr>
              <w:t xml:space="preserve">la </w:t>
            </w:r>
            <w:r w:rsidRPr="00DF6C5E">
              <w:rPr>
                <w:sz w:val="18"/>
                <w:szCs w:val="18"/>
                <w:lang w:val="es-ES" w:eastAsia="es-ES"/>
              </w:rPr>
              <w:t>prepara</w:t>
            </w:r>
            <w:r w:rsidR="002E2D3B">
              <w:rPr>
                <w:sz w:val="18"/>
                <w:szCs w:val="18"/>
                <w:lang w:val="es-ES" w:eastAsia="es-ES"/>
              </w:rPr>
              <w:t>ción de</w:t>
            </w:r>
            <w:r w:rsidRPr="00DF6C5E">
              <w:rPr>
                <w:sz w:val="18"/>
                <w:szCs w:val="18"/>
                <w:lang w:val="es-ES" w:eastAsia="es-ES"/>
              </w:rPr>
              <w:t xml:space="preserve"> documentación para proyectos relacionados con drenaje y suministro de agua, carreteras y edificaciones.</w:t>
            </w:r>
          </w:p>
        </w:tc>
      </w:tr>
      <w:tr w:rsidR="0085556B" w14:paraId="3FD5261C" w14:textId="77777777" w:rsidTr="0085556B">
        <w:trPr>
          <w:trHeight w:val="1274"/>
        </w:trPr>
        <w:tc>
          <w:tcPr>
            <w:tcW w:w="0" w:type="auto"/>
            <w:vAlign w:val="center"/>
          </w:tcPr>
          <w:p w14:paraId="34BAD223" w14:textId="58C6B01B" w:rsidR="00370340" w:rsidRPr="00DF6C5E" w:rsidRDefault="00370340" w:rsidP="009F3C54">
            <w:pPr>
              <w:pStyle w:val="DatosTabla"/>
              <w:jc w:val="center"/>
              <w:rPr>
                <w:b/>
                <w:bCs/>
                <w:szCs w:val="18"/>
              </w:rPr>
            </w:pPr>
            <w:r w:rsidRPr="00DF6C5E">
              <w:rPr>
                <w:b/>
                <w:bCs/>
                <w:szCs w:val="18"/>
              </w:rPr>
              <w:t xml:space="preserve">PRONING </w:t>
            </w:r>
            <w:r w:rsidR="007168AC" w:rsidRPr="00DF6C5E">
              <w:rPr>
                <w:b/>
                <w:bCs/>
                <w:szCs w:val="18"/>
              </w:rPr>
              <w:t>d.o.o.</w:t>
            </w:r>
          </w:p>
        </w:tc>
        <w:tc>
          <w:tcPr>
            <w:tcW w:w="0" w:type="auto"/>
            <w:vAlign w:val="center"/>
          </w:tcPr>
          <w:p w14:paraId="7E1C4FE5" w14:textId="78657288" w:rsidR="00370340" w:rsidRPr="00DF6C5E" w:rsidRDefault="007168AC" w:rsidP="00DF6C5E">
            <w:pPr>
              <w:pStyle w:val="Prrafodelista"/>
              <w:numPr>
                <w:ilvl w:val="0"/>
                <w:numId w:val="0"/>
              </w:numPr>
              <w:ind w:left="720"/>
              <w:rPr>
                <w:sz w:val="18"/>
                <w:szCs w:val="18"/>
              </w:rPr>
            </w:pPr>
            <w:r w:rsidRPr="00DF6C5E">
              <w:rPr>
                <w:sz w:val="18"/>
                <w:szCs w:val="18"/>
                <w:lang w:val="es-ES" w:eastAsia="es-ES"/>
              </w:rPr>
              <w:t xml:space="preserve">Fundada </w:t>
            </w:r>
            <w:r w:rsidR="00671B73">
              <w:rPr>
                <w:sz w:val="18"/>
                <w:szCs w:val="18"/>
                <w:lang w:val="es-ES" w:eastAsia="es-ES"/>
              </w:rPr>
              <w:t>a comienzos de los años 90</w:t>
            </w:r>
            <w:r w:rsidRPr="00DF6C5E">
              <w:rPr>
                <w:sz w:val="18"/>
                <w:szCs w:val="18"/>
                <w:lang w:val="es-ES" w:eastAsia="es-ES"/>
              </w:rPr>
              <w:t xml:space="preserve"> en Zagreb, esta empresa ofrece estudios de viabilidad y de impacto ambiental, elaboración de documentación técnica y preparación de proyectos de inversión. Su experiencia incluye sistemas de recolección y drenaje de aguas residuales y la obtención de permisos de ubicación para redes de alcantarillado.</w:t>
            </w:r>
          </w:p>
        </w:tc>
      </w:tr>
      <w:tr w:rsidR="0085556B" w14:paraId="208B77EA" w14:textId="77777777" w:rsidTr="0085556B">
        <w:trPr>
          <w:trHeight w:val="840"/>
        </w:trPr>
        <w:tc>
          <w:tcPr>
            <w:tcW w:w="0" w:type="auto"/>
            <w:vAlign w:val="center"/>
          </w:tcPr>
          <w:p w14:paraId="6F23CC39" w14:textId="0E043A1C" w:rsidR="00370340" w:rsidRPr="00DF6C5E" w:rsidRDefault="00370340" w:rsidP="009F3C54">
            <w:pPr>
              <w:pStyle w:val="DatosTabla"/>
              <w:jc w:val="center"/>
              <w:rPr>
                <w:b/>
                <w:bCs/>
                <w:szCs w:val="18"/>
              </w:rPr>
            </w:pPr>
            <w:r w:rsidRPr="00DF6C5E">
              <w:rPr>
                <w:b/>
                <w:bCs/>
                <w:szCs w:val="18"/>
              </w:rPr>
              <w:t>AKVEDUKT d.o.o.</w:t>
            </w:r>
          </w:p>
        </w:tc>
        <w:tc>
          <w:tcPr>
            <w:tcW w:w="0" w:type="auto"/>
            <w:vAlign w:val="center"/>
          </w:tcPr>
          <w:p w14:paraId="4B5E8E8F" w14:textId="06389FCE" w:rsidR="00370340" w:rsidRPr="00DF6C5E" w:rsidRDefault="007168AC" w:rsidP="00DF6C5E">
            <w:pPr>
              <w:pStyle w:val="Prrafodelista"/>
              <w:numPr>
                <w:ilvl w:val="0"/>
                <w:numId w:val="0"/>
              </w:numPr>
              <w:ind w:left="720"/>
              <w:rPr>
                <w:sz w:val="18"/>
                <w:szCs w:val="18"/>
                <w:lang w:val="es-ES" w:eastAsia="es-ES"/>
              </w:rPr>
            </w:pPr>
            <w:r w:rsidRPr="00DF6C5E">
              <w:rPr>
                <w:sz w:val="18"/>
                <w:szCs w:val="18"/>
                <w:lang w:val="es-ES" w:eastAsia="es-ES"/>
              </w:rPr>
              <w:t>Esta empresa, fundada en Split en 2005, se encarga de la supervisión y construcción de proyectos de ingeniería, además de proporcionar servicios de consultoría técnica.</w:t>
            </w:r>
          </w:p>
        </w:tc>
      </w:tr>
      <w:tr w:rsidR="0085556B" w14:paraId="008DBBA4" w14:textId="77777777" w:rsidTr="0085556B">
        <w:trPr>
          <w:trHeight w:val="837"/>
        </w:trPr>
        <w:tc>
          <w:tcPr>
            <w:tcW w:w="0" w:type="auto"/>
            <w:vAlign w:val="center"/>
          </w:tcPr>
          <w:p w14:paraId="21841A16" w14:textId="32EEBCBE" w:rsidR="00370340" w:rsidRPr="00DF6C5E" w:rsidRDefault="00370340" w:rsidP="009F3C54">
            <w:pPr>
              <w:pStyle w:val="DatosTabla"/>
              <w:jc w:val="center"/>
              <w:rPr>
                <w:b/>
                <w:bCs/>
                <w:szCs w:val="18"/>
              </w:rPr>
            </w:pPr>
            <w:r w:rsidRPr="00DF6C5E">
              <w:rPr>
                <w:b/>
                <w:bCs/>
                <w:szCs w:val="18"/>
              </w:rPr>
              <w:t>HIDRO</w:t>
            </w:r>
            <w:r w:rsidR="00671B73">
              <w:rPr>
                <w:b/>
                <w:bCs/>
                <w:szCs w:val="18"/>
              </w:rPr>
              <w:t>K</w:t>
            </w:r>
            <w:r w:rsidRPr="00DF6C5E">
              <w:rPr>
                <w:b/>
                <w:bCs/>
                <w:szCs w:val="18"/>
              </w:rPr>
              <w:t xml:space="preserve">ONZALT </w:t>
            </w:r>
            <w:r w:rsidR="007168AC" w:rsidRPr="00DF6C5E">
              <w:rPr>
                <w:b/>
                <w:bCs/>
                <w:szCs w:val="18"/>
              </w:rPr>
              <w:t>d.o.o.</w:t>
            </w:r>
          </w:p>
        </w:tc>
        <w:tc>
          <w:tcPr>
            <w:tcW w:w="0" w:type="auto"/>
            <w:vAlign w:val="center"/>
          </w:tcPr>
          <w:p w14:paraId="63E97BCE" w14:textId="53E28400" w:rsidR="00370340" w:rsidRPr="00DF6C5E" w:rsidRDefault="007168AC" w:rsidP="00DF6C5E">
            <w:pPr>
              <w:pStyle w:val="Prrafodelista"/>
              <w:numPr>
                <w:ilvl w:val="0"/>
                <w:numId w:val="0"/>
              </w:numPr>
              <w:ind w:left="720"/>
              <w:rPr>
                <w:sz w:val="18"/>
                <w:szCs w:val="18"/>
                <w:lang w:val="es-ES" w:eastAsia="es-ES"/>
              </w:rPr>
            </w:pPr>
            <w:r w:rsidRPr="00DF6C5E">
              <w:rPr>
                <w:sz w:val="18"/>
                <w:szCs w:val="18"/>
                <w:lang w:val="es-ES" w:eastAsia="es-ES"/>
              </w:rPr>
              <w:t>Fundada en 1996 y con sede en Zagreb, esta empresa se especializa en ingeniería y consultoría técnica. Su participación abarca desde la preparación de documentación técnica hasta el diseño de sistemas de suministro de agua.</w:t>
            </w:r>
          </w:p>
        </w:tc>
      </w:tr>
      <w:tr w:rsidR="0085556B" w14:paraId="0A8519C1" w14:textId="77777777" w:rsidTr="0085556B">
        <w:trPr>
          <w:trHeight w:val="566"/>
        </w:trPr>
        <w:tc>
          <w:tcPr>
            <w:tcW w:w="0" w:type="auto"/>
            <w:vAlign w:val="center"/>
          </w:tcPr>
          <w:p w14:paraId="586440FE" w14:textId="702B2700" w:rsidR="00370340" w:rsidRPr="00DF6C5E" w:rsidRDefault="00370340" w:rsidP="009F3C54">
            <w:pPr>
              <w:pStyle w:val="DatosTabla"/>
              <w:jc w:val="center"/>
              <w:rPr>
                <w:b/>
                <w:bCs/>
                <w:szCs w:val="18"/>
              </w:rPr>
            </w:pPr>
            <w:r w:rsidRPr="00DF6C5E">
              <w:rPr>
                <w:b/>
                <w:bCs/>
                <w:szCs w:val="18"/>
              </w:rPr>
              <w:t xml:space="preserve">EXTERNUS CONSULTING </w:t>
            </w:r>
            <w:r w:rsidR="007168AC" w:rsidRPr="00DF6C5E">
              <w:rPr>
                <w:b/>
                <w:bCs/>
                <w:szCs w:val="18"/>
              </w:rPr>
              <w:t>d.o.o.</w:t>
            </w:r>
          </w:p>
        </w:tc>
        <w:tc>
          <w:tcPr>
            <w:tcW w:w="0" w:type="auto"/>
            <w:vAlign w:val="center"/>
          </w:tcPr>
          <w:p w14:paraId="191E35E1" w14:textId="3DBDF6A2" w:rsidR="00370340" w:rsidRPr="00DF6C5E" w:rsidRDefault="002E2D3B" w:rsidP="00DF6C5E">
            <w:pPr>
              <w:pStyle w:val="Prrafodelista"/>
              <w:numPr>
                <w:ilvl w:val="0"/>
                <w:numId w:val="0"/>
              </w:numPr>
              <w:ind w:left="720"/>
              <w:rPr>
                <w:sz w:val="18"/>
                <w:szCs w:val="18"/>
                <w:lang w:val="es-ES" w:eastAsia="es-ES"/>
              </w:rPr>
            </w:pPr>
            <w:r>
              <w:rPr>
                <w:sz w:val="18"/>
                <w:szCs w:val="18"/>
                <w:lang w:val="es-ES" w:eastAsia="es-ES"/>
              </w:rPr>
              <w:t>Empresa c</w:t>
            </w:r>
            <w:r w:rsidR="007168AC" w:rsidRPr="00DF6C5E">
              <w:rPr>
                <w:sz w:val="18"/>
                <w:szCs w:val="18"/>
                <w:lang w:val="es-ES" w:eastAsia="es-ES"/>
              </w:rPr>
              <w:t>on sede en Zagreb y fundada en 2006</w:t>
            </w:r>
            <w:r>
              <w:rPr>
                <w:sz w:val="18"/>
                <w:szCs w:val="18"/>
                <w:lang w:val="es-ES" w:eastAsia="es-ES"/>
              </w:rPr>
              <w:t xml:space="preserve">. </w:t>
            </w:r>
            <w:r w:rsidR="007168AC" w:rsidRPr="00DF6C5E">
              <w:rPr>
                <w:sz w:val="18"/>
                <w:szCs w:val="18"/>
                <w:lang w:val="es-ES" w:eastAsia="es-ES"/>
              </w:rPr>
              <w:t>Su enfoque principal se encuentra en las actividades de consultoría empresarial.</w:t>
            </w:r>
          </w:p>
        </w:tc>
      </w:tr>
      <w:tr w:rsidR="0085556B" w14:paraId="77DDCDAF" w14:textId="77777777" w:rsidTr="0085556B">
        <w:trPr>
          <w:trHeight w:val="1128"/>
        </w:trPr>
        <w:tc>
          <w:tcPr>
            <w:tcW w:w="0" w:type="auto"/>
            <w:vAlign w:val="center"/>
          </w:tcPr>
          <w:p w14:paraId="32784764" w14:textId="372C9B12" w:rsidR="00370340" w:rsidRPr="00DF6C5E" w:rsidRDefault="00370340" w:rsidP="009F3C54">
            <w:pPr>
              <w:pStyle w:val="DatosTabla"/>
              <w:jc w:val="center"/>
              <w:rPr>
                <w:b/>
                <w:bCs/>
                <w:szCs w:val="18"/>
              </w:rPr>
            </w:pPr>
            <w:r w:rsidRPr="00DF6C5E">
              <w:rPr>
                <w:b/>
                <w:bCs/>
                <w:szCs w:val="18"/>
              </w:rPr>
              <w:t xml:space="preserve">RIJEKAPROJEKT-VODOGRADNJA </w:t>
            </w:r>
            <w:r w:rsidR="007168AC" w:rsidRPr="00DF6C5E">
              <w:rPr>
                <w:b/>
                <w:bCs/>
                <w:szCs w:val="18"/>
              </w:rPr>
              <w:t>d.o.o.</w:t>
            </w:r>
          </w:p>
        </w:tc>
        <w:tc>
          <w:tcPr>
            <w:tcW w:w="0" w:type="auto"/>
            <w:vAlign w:val="center"/>
          </w:tcPr>
          <w:p w14:paraId="4B5786DE" w14:textId="724F3DC1" w:rsidR="00370340" w:rsidRPr="00DF6C5E" w:rsidRDefault="007168AC" w:rsidP="00DF6C5E">
            <w:pPr>
              <w:pStyle w:val="Prrafodelista"/>
              <w:numPr>
                <w:ilvl w:val="0"/>
                <w:numId w:val="0"/>
              </w:numPr>
              <w:ind w:left="720"/>
              <w:rPr>
                <w:sz w:val="18"/>
                <w:szCs w:val="18"/>
                <w:lang w:val="es-ES" w:eastAsia="es-ES"/>
              </w:rPr>
            </w:pPr>
            <w:r w:rsidRPr="00DF6C5E">
              <w:rPr>
                <w:sz w:val="18"/>
                <w:szCs w:val="18"/>
                <w:lang w:val="es-ES" w:eastAsia="es-ES"/>
              </w:rPr>
              <w:t>Esta compañía, establecida en 1990 en Rijeka, se especializa en ingeniería y consultoría técnica. Se encarga del diseño y construcción de estructuras hidráulicas, obtención de permisos y coordinación de proyectos integrales de suministro y tratamiento de agua.</w:t>
            </w:r>
          </w:p>
        </w:tc>
      </w:tr>
      <w:tr w:rsidR="0085556B" w14:paraId="44CA289B" w14:textId="77777777" w:rsidTr="0085556B">
        <w:trPr>
          <w:trHeight w:val="832"/>
        </w:trPr>
        <w:tc>
          <w:tcPr>
            <w:tcW w:w="0" w:type="auto"/>
            <w:vAlign w:val="center"/>
          </w:tcPr>
          <w:p w14:paraId="78A543D1" w14:textId="19FC35F6" w:rsidR="00370340" w:rsidRPr="00DD6652" w:rsidRDefault="00370340" w:rsidP="009F3C54">
            <w:pPr>
              <w:pStyle w:val="DatosTabla"/>
              <w:jc w:val="center"/>
              <w:rPr>
                <w:b/>
                <w:bCs/>
                <w:szCs w:val="18"/>
              </w:rPr>
            </w:pPr>
            <w:r w:rsidRPr="00DD6652">
              <w:rPr>
                <w:b/>
                <w:bCs/>
                <w:szCs w:val="18"/>
              </w:rPr>
              <w:t xml:space="preserve">PROJEKTNI BIRO </w:t>
            </w:r>
            <w:r w:rsidR="009F1756" w:rsidRPr="00DD6652">
              <w:rPr>
                <w:b/>
                <w:bCs/>
                <w:szCs w:val="18"/>
              </w:rPr>
              <w:t>NAGLIĆ</w:t>
            </w:r>
            <w:r w:rsidRPr="00DD6652">
              <w:rPr>
                <w:b/>
                <w:bCs/>
                <w:szCs w:val="18"/>
              </w:rPr>
              <w:t xml:space="preserve"> </w:t>
            </w:r>
            <w:r w:rsidR="007168AC" w:rsidRPr="00DD6652">
              <w:rPr>
                <w:b/>
                <w:bCs/>
                <w:szCs w:val="18"/>
              </w:rPr>
              <w:t>d.o.o.</w:t>
            </w:r>
          </w:p>
        </w:tc>
        <w:tc>
          <w:tcPr>
            <w:tcW w:w="0" w:type="auto"/>
            <w:vAlign w:val="center"/>
          </w:tcPr>
          <w:p w14:paraId="7727969E" w14:textId="3362E0E8" w:rsidR="00370340" w:rsidRPr="00DF6C5E" w:rsidRDefault="007168AC" w:rsidP="00DF6C5E">
            <w:pPr>
              <w:pStyle w:val="Prrafodelista"/>
              <w:numPr>
                <w:ilvl w:val="0"/>
                <w:numId w:val="0"/>
              </w:numPr>
              <w:ind w:left="720"/>
              <w:rPr>
                <w:sz w:val="18"/>
                <w:szCs w:val="18"/>
                <w:lang w:val="es-ES" w:eastAsia="es-ES"/>
              </w:rPr>
            </w:pPr>
            <w:r w:rsidRPr="00DF6C5E">
              <w:rPr>
                <w:sz w:val="18"/>
                <w:szCs w:val="18"/>
                <w:lang w:val="es-ES" w:eastAsia="es-ES"/>
              </w:rPr>
              <w:t>Fundada en 1992 y con sede en Zagreb, esta empresa se dedica a la ingeniería y consultoría técnica. Su trabajo incluye la preparación de documentación técnica y el establecimiento de sistemas de abastecimiento y drenaje de agua.</w:t>
            </w:r>
          </w:p>
        </w:tc>
      </w:tr>
    </w:tbl>
    <w:p w14:paraId="55AE27EC" w14:textId="4EA3F0F5" w:rsidR="0085556B" w:rsidRDefault="006A451D" w:rsidP="001D30E0">
      <w:pPr>
        <w:spacing w:before="120"/>
        <w:rPr>
          <w:color w:val="9D9A9D" w:themeColor="accent5"/>
          <w:sz w:val="18"/>
          <w:szCs w:val="20"/>
          <w:lang w:val="es-ES" w:eastAsia="es-ES"/>
        </w:rPr>
      </w:pPr>
      <w:r w:rsidRPr="00A02A2B">
        <w:rPr>
          <w:color w:val="9D9A9D" w:themeColor="accent5"/>
          <w:sz w:val="18"/>
          <w:szCs w:val="20"/>
          <w:lang w:val="es-ES" w:eastAsia="es-ES"/>
        </w:rPr>
        <w:t xml:space="preserve">Fuente: </w:t>
      </w:r>
      <w:r w:rsidR="002E2D3B" w:rsidRPr="001C3A52">
        <w:rPr>
          <w:color w:val="9D9A9D" w:themeColor="accent5"/>
          <w:sz w:val="18"/>
          <w:szCs w:val="20"/>
          <w:lang w:val="es-ES" w:eastAsia="es-ES"/>
        </w:rPr>
        <w:t xml:space="preserve">Elaboración propia en base a información recabada por la </w:t>
      </w:r>
      <w:r w:rsidR="00B00C39">
        <w:rPr>
          <w:color w:val="9D9A9D" w:themeColor="accent5"/>
          <w:sz w:val="18"/>
          <w:szCs w:val="20"/>
          <w:lang w:val="es-ES" w:eastAsia="es-ES"/>
        </w:rPr>
        <w:t>Oficina Económica y Comercial de España en Zagreb.</w:t>
      </w:r>
    </w:p>
    <w:p w14:paraId="025FD7C6" w14:textId="77777777" w:rsidR="001D30E0" w:rsidRDefault="001D30E0" w:rsidP="001D30E0">
      <w:pPr>
        <w:spacing w:before="120"/>
        <w:rPr>
          <w:color w:val="9D9A9D" w:themeColor="accent5"/>
          <w:sz w:val="18"/>
          <w:szCs w:val="20"/>
          <w:lang w:val="es-ES" w:eastAsia="es-ES"/>
        </w:rPr>
      </w:pPr>
    </w:p>
    <w:p w14:paraId="21275BCD" w14:textId="77777777" w:rsidR="00AF187D" w:rsidRDefault="00AF187D" w:rsidP="007168AC">
      <w:pPr>
        <w:spacing w:before="240"/>
        <w:rPr>
          <w:rFonts w:asciiTheme="minorHAnsi" w:hAnsiTheme="minorHAnsi"/>
          <w:b/>
          <w:caps/>
          <w:color w:val="9D9A9D" w:themeColor="accent5"/>
          <w:lang w:eastAsia="es-ES_tradnl"/>
        </w:rPr>
      </w:pPr>
    </w:p>
    <w:p w14:paraId="00B6AAAD" w14:textId="0666646D" w:rsidR="00435077" w:rsidRPr="0085556B" w:rsidRDefault="00435077" w:rsidP="007168AC">
      <w:pPr>
        <w:spacing w:before="240"/>
        <w:rPr>
          <w:color w:val="9D9A9D" w:themeColor="accent5"/>
          <w:sz w:val="18"/>
          <w:szCs w:val="20"/>
          <w:lang w:val="es-ES" w:eastAsia="es-ES"/>
        </w:rPr>
      </w:pPr>
      <w:r w:rsidRPr="00435077">
        <w:rPr>
          <w:rFonts w:asciiTheme="minorHAnsi" w:hAnsiTheme="minorHAnsi"/>
          <w:b/>
          <w:caps/>
          <w:color w:val="9D9A9D" w:themeColor="accent5"/>
          <w:lang w:eastAsia="es-ES_tradnl"/>
        </w:rPr>
        <w:lastRenderedPageBreak/>
        <w:t>t</w:t>
      </w:r>
      <w:r>
        <w:rPr>
          <w:rFonts w:asciiTheme="minorHAnsi" w:hAnsiTheme="minorHAnsi"/>
          <w:b/>
          <w:caps/>
          <w:color w:val="9D9A9D" w:themeColor="accent5"/>
          <w:lang w:eastAsia="es-ES_tradnl"/>
        </w:rPr>
        <w:t xml:space="preserve">abla 2: empresas croatas dedicadas a la </w:t>
      </w:r>
      <w:r w:rsidR="005B35C0">
        <w:rPr>
          <w:rFonts w:asciiTheme="minorHAnsi" w:hAnsiTheme="minorHAnsi"/>
          <w:b/>
          <w:caps/>
          <w:color w:val="9D9A9D" w:themeColor="accent5"/>
          <w:lang w:eastAsia="es-ES_tradnl"/>
        </w:rPr>
        <w:t>construcción</w:t>
      </w:r>
      <w:r>
        <w:rPr>
          <w:rFonts w:asciiTheme="minorHAnsi" w:hAnsiTheme="minorHAnsi"/>
          <w:b/>
          <w:caps/>
          <w:color w:val="9D9A9D" w:themeColor="accent5"/>
          <w:lang w:eastAsia="es-ES_tradnl"/>
        </w:rPr>
        <w:t xml:space="preserve"> </w:t>
      </w:r>
      <w:r w:rsidR="00F94518">
        <w:rPr>
          <w:rFonts w:asciiTheme="minorHAnsi" w:hAnsiTheme="minorHAnsi"/>
          <w:b/>
          <w:caps/>
          <w:color w:val="9D9A9D" w:themeColor="accent5"/>
          <w:lang w:eastAsia="es-ES_tradnl"/>
        </w:rPr>
        <w:t xml:space="preserve">y DESARROLLO </w:t>
      </w:r>
      <w:r>
        <w:rPr>
          <w:rFonts w:asciiTheme="minorHAnsi" w:hAnsiTheme="minorHAnsi"/>
          <w:b/>
          <w:caps/>
          <w:color w:val="9D9A9D" w:themeColor="accent5"/>
          <w:lang w:eastAsia="es-ES_tradnl"/>
        </w:rPr>
        <w:t>del</w:t>
      </w:r>
      <w:r w:rsidR="005B35C0">
        <w:rPr>
          <w:rFonts w:asciiTheme="minorHAnsi" w:hAnsiTheme="minorHAnsi"/>
          <w:b/>
          <w:caps/>
          <w:color w:val="9D9A9D" w:themeColor="accent5"/>
          <w:lang w:eastAsia="es-ES_tradnl"/>
        </w:rPr>
        <w:t xml:space="preserve"> sector</w:t>
      </w:r>
    </w:p>
    <w:tbl>
      <w:tblPr>
        <w:tblStyle w:val="Tabladelista2-nfasis1"/>
        <w:tblW w:w="9702" w:type="dxa"/>
        <w:tblLook w:val="0620" w:firstRow="1" w:lastRow="0" w:firstColumn="0" w:lastColumn="0" w:noHBand="1" w:noVBand="1"/>
      </w:tblPr>
      <w:tblGrid>
        <w:gridCol w:w="2891"/>
        <w:gridCol w:w="2096"/>
        <w:gridCol w:w="2346"/>
        <w:gridCol w:w="2369"/>
      </w:tblGrid>
      <w:tr w:rsidR="00435077" w14:paraId="60209573" w14:textId="77777777" w:rsidTr="009D7770">
        <w:trPr>
          <w:cnfStyle w:val="100000000000" w:firstRow="1" w:lastRow="0" w:firstColumn="0" w:lastColumn="0" w:oddVBand="0" w:evenVBand="0" w:oddHBand="0" w:evenHBand="0" w:firstRowFirstColumn="0" w:firstRowLastColumn="0" w:lastRowFirstColumn="0" w:lastRowLastColumn="0"/>
          <w:trHeight w:val="310"/>
        </w:trPr>
        <w:tc>
          <w:tcPr>
            <w:tcW w:w="2891" w:type="dxa"/>
            <w:tcBorders>
              <w:top w:val="nil"/>
              <w:bottom w:val="single" w:sz="12" w:space="0" w:color="E2231A" w:themeColor="accent1"/>
            </w:tcBorders>
            <w:shd w:val="clear" w:color="auto" w:fill="auto"/>
            <w:vAlign w:val="center"/>
          </w:tcPr>
          <w:p w14:paraId="5A73A327" w14:textId="77777777" w:rsidR="00435077" w:rsidRPr="00CC15DD" w:rsidRDefault="00435077" w:rsidP="00D0081F">
            <w:pPr>
              <w:pStyle w:val="Rango1Tablas"/>
            </w:pPr>
            <w:r w:rsidRPr="00CC15DD">
              <w:t>EMPRESA</w:t>
            </w:r>
          </w:p>
        </w:tc>
        <w:tc>
          <w:tcPr>
            <w:tcW w:w="2096" w:type="dxa"/>
            <w:tcBorders>
              <w:top w:val="nil"/>
              <w:bottom w:val="single" w:sz="12" w:space="0" w:color="E2231A" w:themeColor="accent1"/>
            </w:tcBorders>
            <w:shd w:val="clear" w:color="auto" w:fill="auto"/>
            <w:vAlign w:val="center"/>
          </w:tcPr>
          <w:p w14:paraId="2146F991" w14:textId="602C33DF" w:rsidR="00435077" w:rsidRPr="00C56803" w:rsidRDefault="00435077" w:rsidP="00D0081F">
            <w:pPr>
              <w:pStyle w:val="Rango1Tablas"/>
            </w:pPr>
            <w:r>
              <w:t>LOCALIZACIÓN</w:t>
            </w:r>
          </w:p>
        </w:tc>
        <w:tc>
          <w:tcPr>
            <w:tcW w:w="2346" w:type="dxa"/>
            <w:tcBorders>
              <w:top w:val="nil"/>
              <w:bottom w:val="single" w:sz="12" w:space="0" w:color="E2231A" w:themeColor="accent1"/>
            </w:tcBorders>
            <w:shd w:val="clear" w:color="auto" w:fill="auto"/>
            <w:vAlign w:val="center"/>
          </w:tcPr>
          <w:p w14:paraId="3AE106D1" w14:textId="77777777" w:rsidR="00435077" w:rsidRPr="00C56803" w:rsidRDefault="00435077" w:rsidP="00D0081F">
            <w:pPr>
              <w:pStyle w:val="Rango1Tablas"/>
            </w:pPr>
            <w:r>
              <w:t>EMPRESA</w:t>
            </w:r>
          </w:p>
        </w:tc>
        <w:tc>
          <w:tcPr>
            <w:tcW w:w="2369" w:type="dxa"/>
            <w:tcBorders>
              <w:top w:val="nil"/>
              <w:bottom w:val="single" w:sz="12" w:space="0" w:color="E2231A" w:themeColor="accent1"/>
            </w:tcBorders>
            <w:vAlign w:val="center"/>
          </w:tcPr>
          <w:p w14:paraId="65CF6347" w14:textId="0F3D8485" w:rsidR="00435077" w:rsidRPr="00C56803" w:rsidRDefault="00435077" w:rsidP="00D0081F">
            <w:pPr>
              <w:pStyle w:val="Rango1Tablas"/>
            </w:pPr>
            <w:r>
              <w:t>LOCALIZACIÓN</w:t>
            </w:r>
          </w:p>
        </w:tc>
      </w:tr>
      <w:tr w:rsidR="00F9226A" w:rsidRPr="00E00964" w14:paraId="7C7E1382" w14:textId="77777777" w:rsidTr="009D7770">
        <w:trPr>
          <w:trHeight w:val="310"/>
        </w:trPr>
        <w:tc>
          <w:tcPr>
            <w:tcW w:w="2891" w:type="dxa"/>
            <w:shd w:val="clear" w:color="auto" w:fill="F9D2D0" w:themeFill="accent1" w:themeFillTint="33"/>
            <w:vAlign w:val="center"/>
          </w:tcPr>
          <w:p w14:paraId="07BFC3ED" w14:textId="3D20B996" w:rsidR="00F9226A" w:rsidRPr="00D370A9" w:rsidRDefault="00F9226A" w:rsidP="00D0081F">
            <w:pPr>
              <w:pStyle w:val="DatosTabla"/>
              <w:rPr>
                <w:rFonts w:ascii="Arial" w:eastAsia="Times New Roman" w:hAnsi="Arial" w:cs="Arial"/>
                <w:b/>
                <w:bCs/>
                <w:color w:val="auto"/>
                <w:szCs w:val="22"/>
                <w:lang w:val="es-ES" w:eastAsia="es-ES"/>
              </w:rPr>
            </w:pPr>
            <w:r w:rsidRPr="00BF334D">
              <w:rPr>
                <w:rFonts w:ascii="Arial" w:eastAsia="Times New Roman" w:hAnsi="Arial" w:cs="Arial"/>
                <w:b/>
                <w:bCs/>
                <w:color w:val="auto"/>
                <w:szCs w:val="22"/>
                <w:lang w:val="es-ES" w:eastAsia="es-ES"/>
              </w:rPr>
              <w:t xml:space="preserve">BARANJSKI VODOVOD d.o.o. </w:t>
            </w:r>
          </w:p>
        </w:tc>
        <w:tc>
          <w:tcPr>
            <w:tcW w:w="2096" w:type="dxa"/>
            <w:vAlign w:val="center"/>
          </w:tcPr>
          <w:p w14:paraId="62CBFF70" w14:textId="2B7C76C0" w:rsidR="00F9226A" w:rsidRPr="00E00964" w:rsidRDefault="00F9226A" w:rsidP="00D0081F">
            <w:pPr>
              <w:pStyle w:val="DatosTabla"/>
              <w:rPr>
                <w:rFonts w:ascii="Arial" w:eastAsia="Times New Roman" w:hAnsi="Arial" w:cs="Arial"/>
                <w:color w:val="000000"/>
                <w:szCs w:val="22"/>
                <w:lang w:val="en-US" w:eastAsia="es-ES"/>
              </w:rPr>
            </w:pPr>
            <w:r w:rsidRPr="005573B3">
              <w:rPr>
                <w:rFonts w:ascii="Arial" w:eastAsia="Times New Roman" w:hAnsi="Arial" w:cs="Arial"/>
                <w:color w:val="000000"/>
                <w:szCs w:val="22"/>
                <w:lang w:val="es-ES" w:eastAsia="es-ES"/>
              </w:rPr>
              <w:t>Beli Manastir</w:t>
            </w:r>
          </w:p>
        </w:tc>
        <w:tc>
          <w:tcPr>
            <w:tcW w:w="2346" w:type="dxa"/>
            <w:shd w:val="clear" w:color="auto" w:fill="F9D2D0" w:themeFill="accent1" w:themeFillTint="33"/>
            <w:vAlign w:val="center"/>
          </w:tcPr>
          <w:p w14:paraId="47134933" w14:textId="14483DC7" w:rsidR="00F9226A" w:rsidRPr="00025491" w:rsidRDefault="00F9226A" w:rsidP="00D0081F">
            <w:pPr>
              <w:pStyle w:val="DatosTabla"/>
              <w:rPr>
                <w:b/>
                <w:bCs/>
                <w:color w:val="auto"/>
                <w:lang w:val="es-ES"/>
              </w:rPr>
            </w:pPr>
            <w:r w:rsidRPr="00BF334D">
              <w:rPr>
                <w:rFonts w:ascii="Arial" w:eastAsia="Times New Roman" w:hAnsi="Arial" w:cs="Arial"/>
                <w:b/>
                <w:bCs/>
                <w:color w:val="auto"/>
                <w:szCs w:val="22"/>
                <w:lang w:val="es-ES" w:eastAsia="es-ES"/>
              </w:rPr>
              <w:t>PONIKVE VODA d.o.o.</w:t>
            </w:r>
          </w:p>
        </w:tc>
        <w:tc>
          <w:tcPr>
            <w:tcW w:w="2369" w:type="dxa"/>
            <w:vAlign w:val="center"/>
          </w:tcPr>
          <w:p w14:paraId="49EBF761" w14:textId="3276C972" w:rsidR="00F9226A" w:rsidRPr="00E00964" w:rsidRDefault="00F9226A" w:rsidP="00D0081F">
            <w:pPr>
              <w:pStyle w:val="DatosTabla"/>
              <w:rPr>
                <w:lang w:val="en-US"/>
              </w:rPr>
            </w:pPr>
            <w:r w:rsidRPr="005573B3">
              <w:rPr>
                <w:rFonts w:ascii="Arial" w:eastAsia="Times New Roman" w:hAnsi="Arial" w:cs="Arial"/>
                <w:color w:val="000000"/>
                <w:szCs w:val="22"/>
                <w:lang w:val="es-ES" w:eastAsia="es-ES"/>
              </w:rPr>
              <w:t>Krk</w:t>
            </w:r>
          </w:p>
        </w:tc>
      </w:tr>
      <w:tr w:rsidR="00F9226A" w14:paraId="78216013" w14:textId="77777777" w:rsidTr="009D7770">
        <w:trPr>
          <w:trHeight w:val="310"/>
        </w:trPr>
        <w:tc>
          <w:tcPr>
            <w:tcW w:w="2891" w:type="dxa"/>
            <w:shd w:val="clear" w:color="auto" w:fill="F9D2D0" w:themeFill="accent1" w:themeFillTint="33"/>
            <w:vAlign w:val="center"/>
          </w:tcPr>
          <w:p w14:paraId="5D1243E1" w14:textId="30EC335E" w:rsidR="00F9226A" w:rsidRPr="00BF334D" w:rsidRDefault="00F9226A" w:rsidP="00D0081F">
            <w:pPr>
              <w:pStyle w:val="DatosTabla"/>
              <w:rPr>
                <w:b/>
                <w:bCs/>
                <w:color w:val="auto"/>
              </w:rPr>
            </w:pPr>
            <w:r w:rsidRPr="00D370A9">
              <w:rPr>
                <w:b/>
                <w:bCs/>
                <w:color w:val="auto"/>
              </w:rPr>
              <w:t>BINĐO</w:t>
            </w:r>
            <w:r>
              <w:rPr>
                <w:b/>
                <w:bCs/>
                <w:color w:val="auto"/>
              </w:rPr>
              <w:t xml:space="preserve"> d.o.o.</w:t>
            </w:r>
          </w:p>
        </w:tc>
        <w:tc>
          <w:tcPr>
            <w:tcW w:w="2096" w:type="dxa"/>
            <w:vAlign w:val="center"/>
          </w:tcPr>
          <w:p w14:paraId="20C2E62F" w14:textId="3228C2EA" w:rsidR="00F9226A" w:rsidRPr="00A32F79" w:rsidRDefault="00F9226A" w:rsidP="00D0081F">
            <w:pPr>
              <w:pStyle w:val="DatosTabla"/>
            </w:pPr>
            <w:r w:rsidRPr="00D370A9">
              <w:t>Ivanić-Grad</w:t>
            </w:r>
          </w:p>
        </w:tc>
        <w:tc>
          <w:tcPr>
            <w:tcW w:w="2346" w:type="dxa"/>
            <w:shd w:val="clear" w:color="auto" w:fill="F9D2D0" w:themeFill="accent1" w:themeFillTint="33"/>
            <w:vAlign w:val="center"/>
          </w:tcPr>
          <w:p w14:paraId="70054B93" w14:textId="707DA724" w:rsidR="00F9226A" w:rsidRPr="00BF334D" w:rsidRDefault="00F9226A" w:rsidP="00D0081F">
            <w:pPr>
              <w:pStyle w:val="DatosTabla"/>
              <w:rPr>
                <w:b/>
                <w:bCs/>
                <w:color w:val="auto"/>
                <w:lang w:val="es-ES"/>
              </w:rPr>
            </w:pPr>
            <w:r w:rsidRPr="00BF334D">
              <w:rPr>
                <w:rFonts w:ascii="Arial" w:eastAsia="Times New Roman" w:hAnsi="Arial" w:cs="Arial"/>
                <w:b/>
                <w:bCs/>
                <w:color w:val="auto"/>
                <w:szCs w:val="22"/>
                <w:lang w:val="es-ES" w:eastAsia="es-ES"/>
              </w:rPr>
              <w:t xml:space="preserve">PRIVREDA d.o.o. </w:t>
            </w:r>
          </w:p>
        </w:tc>
        <w:tc>
          <w:tcPr>
            <w:tcW w:w="2369" w:type="dxa"/>
            <w:vAlign w:val="center"/>
          </w:tcPr>
          <w:p w14:paraId="16313094" w14:textId="1F81FFE0" w:rsidR="00F9226A" w:rsidRPr="00A32F79" w:rsidRDefault="00F9226A" w:rsidP="00D0081F">
            <w:pPr>
              <w:pStyle w:val="DatosTabla"/>
            </w:pPr>
            <w:r w:rsidRPr="005573B3">
              <w:rPr>
                <w:rFonts w:ascii="Arial" w:eastAsia="Times New Roman" w:hAnsi="Arial" w:cs="Arial"/>
                <w:color w:val="000000"/>
                <w:szCs w:val="22"/>
                <w:lang w:val="es-ES" w:eastAsia="es-ES"/>
              </w:rPr>
              <w:t>Petrinja</w:t>
            </w:r>
          </w:p>
        </w:tc>
      </w:tr>
      <w:tr w:rsidR="00F9226A" w14:paraId="011972E2" w14:textId="77777777" w:rsidTr="009D7770">
        <w:trPr>
          <w:trHeight w:val="310"/>
        </w:trPr>
        <w:tc>
          <w:tcPr>
            <w:tcW w:w="2891" w:type="dxa"/>
            <w:shd w:val="clear" w:color="auto" w:fill="F9D2D0" w:themeFill="accent1" w:themeFillTint="33"/>
            <w:vAlign w:val="center"/>
          </w:tcPr>
          <w:p w14:paraId="336FAF97" w14:textId="7F0E42ED" w:rsidR="00F9226A" w:rsidRPr="00BF334D" w:rsidRDefault="00F9226A" w:rsidP="00D0081F">
            <w:pPr>
              <w:pStyle w:val="DatosTabla"/>
              <w:rPr>
                <w:b/>
                <w:bCs/>
                <w:color w:val="auto"/>
              </w:rPr>
            </w:pPr>
            <w:r w:rsidRPr="00BF334D">
              <w:rPr>
                <w:b/>
                <w:bCs/>
                <w:color w:val="auto"/>
              </w:rPr>
              <w:t>CESTAR d.o.o.</w:t>
            </w:r>
          </w:p>
        </w:tc>
        <w:tc>
          <w:tcPr>
            <w:tcW w:w="2096" w:type="dxa"/>
            <w:vAlign w:val="center"/>
          </w:tcPr>
          <w:p w14:paraId="5EB002E7" w14:textId="293DDA7F" w:rsidR="00F9226A" w:rsidRPr="00A32F79" w:rsidRDefault="00F9226A" w:rsidP="00D0081F">
            <w:pPr>
              <w:pStyle w:val="DatosTabla"/>
            </w:pPr>
            <w:r>
              <w:t>Split</w:t>
            </w:r>
          </w:p>
        </w:tc>
        <w:tc>
          <w:tcPr>
            <w:tcW w:w="2346" w:type="dxa"/>
            <w:shd w:val="clear" w:color="auto" w:fill="F9D2D0" w:themeFill="accent1" w:themeFillTint="33"/>
            <w:vAlign w:val="center"/>
          </w:tcPr>
          <w:p w14:paraId="216C49F6" w14:textId="2C9F6BC2" w:rsidR="00F9226A" w:rsidRPr="00BF334D" w:rsidRDefault="00F9226A" w:rsidP="00D0081F">
            <w:pPr>
              <w:pStyle w:val="DatosTabla"/>
              <w:rPr>
                <w:b/>
                <w:bCs/>
                <w:color w:val="auto"/>
                <w:lang w:val="es-ES"/>
              </w:rPr>
            </w:pPr>
            <w:r>
              <w:rPr>
                <w:b/>
                <w:bCs/>
                <w:color w:val="auto"/>
                <w:lang w:val="es-ES"/>
              </w:rPr>
              <w:t>RAD d.o.o.</w:t>
            </w:r>
          </w:p>
        </w:tc>
        <w:tc>
          <w:tcPr>
            <w:tcW w:w="2369" w:type="dxa"/>
            <w:vAlign w:val="center"/>
          </w:tcPr>
          <w:p w14:paraId="525E2760" w14:textId="7AF5BCC7" w:rsidR="00F9226A" w:rsidRPr="00A32F79" w:rsidRDefault="00F9226A" w:rsidP="00D0081F">
            <w:pPr>
              <w:pStyle w:val="DatosTabla"/>
            </w:pPr>
            <w:r w:rsidRPr="00FF6AF7">
              <w:t>Drniš</w:t>
            </w:r>
          </w:p>
        </w:tc>
      </w:tr>
      <w:tr w:rsidR="00F9226A" w14:paraId="715085C4" w14:textId="77777777" w:rsidTr="009D7770">
        <w:trPr>
          <w:trHeight w:val="310"/>
        </w:trPr>
        <w:tc>
          <w:tcPr>
            <w:tcW w:w="2891" w:type="dxa"/>
            <w:shd w:val="clear" w:color="auto" w:fill="F9D2D0" w:themeFill="accent1" w:themeFillTint="33"/>
            <w:vAlign w:val="center"/>
          </w:tcPr>
          <w:p w14:paraId="2AFF856C" w14:textId="17734F85" w:rsidR="00F9226A" w:rsidRPr="00BF334D" w:rsidRDefault="00F9226A" w:rsidP="00D0081F">
            <w:pPr>
              <w:pStyle w:val="DatosTabla"/>
              <w:rPr>
                <w:b/>
                <w:bCs/>
                <w:color w:val="auto"/>
              </w:rPr>
            </w:pPr>
            <w:r>
              <w:rPr>
                <w:b/>
                <w:bCs/>
                <w:color w:val="auto"/>
              </w:rPr>
              <w:t>CROCUS d.o.o.</w:t>
            </w:r>
          </w:p>
        </w:tc>
        <w:tc>
          <w:tcPr>
            <w:tcW w:w="2096" w:type="dxa"/>
            <w:vAlign w:val="center"/>
          </w:tcPr>
          <w:p w14:paraId="27AE5A00" w14:textId="051F5AF2" w:rsidR="00F9226A" w:rsidRDefault="00F9226A" w:rsidP="00D0081F">
            <w:pPr>
              <w:pStyle w:val="DatosTabla"/>
            </w:pPr>
            <w:r>
              <w:t>Osijek</w:t>
            </w:r>
          </w:p>
        </w:tc>
        <w:tc>
          <w:tcPr>
            <w:tcW w:w="2346" w:type="dxa"/>
            <w:shd w:val="clear" w:color="auto" w:fill="F9D2D0" w:themeFill="accent1" w:themeFillTint="33"/>
            <w:vAlign w:val="center"/>
          </w:tcPr>
          <w:p w14:paraId="66BF7CB4" w14:textId="267714F2" w:rsidR="00F9226A" w:rsidRPr="00D370A9" w:rsidRDefault="00F9226A" w:rsidP="00D0081F">
            <w:pPr>
              <w:pStyle w:val="DatosTabla"/>
              <w:rPr>
                <w:b/>
                <w:bCs/>
                <w:color w:val="auto"/>
                <w:lang w:val="es-ES"/>
              </w:rPr>
            </w:pPr>
            <w:r w:rsidRPr="00BF334D">
              <w:rPr>
                <w:b/>
                <w:bCs/>
                <w:color w:val="auto"/>
              </w:rPr>
              <w:t>SARA</w:t>
            </w:r>
            <w:r w:rsidRPr="00BF334D">
              <w:rPr>
                <w:rFonts w:ascii="Arial" w:eastAsia="Times New Roman" w:hAnsi="Arial" w:cs="Arial"/>
                <w:b/>
                <w:bCs/>
                <w:color w:val="auto"/>
                <w:szCs w:val="22"/>
                <w:lang w:val="es-ES" w:eastAsia="es-ES"/>
              </w:rPr>
              <w:t>ĐEN d.o.o.</w:t>
            </w:r>
          </w:p>
        </w:tc>
        <w:tc>
          <w:tcPr>
            <w:tcW w:w="2369" w:type="dxa"/>
            <w:vAlign w:val="center"/>
          </w:tcPr>
          <w:p w14:paraId="5B1FE2E6" w14:textId="416B534B" w:rsidR="00F9226A" w:rsidRDefault="00F9226A" w:rsidP="00D0081F">
            <w:pPr>
              <w:pStyle w:val="DatosTabla"/>
            </w:pPr>
            <w:r>
              <w:t>Tisno</w:t>
            </w:r>
          </w:p>
        </w:tc>
      </w:tr>
      <w:tr w:rsidR="00F9226A" w14:paraId="0B0797C2" w14:textId="77777777" w:rsidTr="009D7770">
        <w:trPr>
          <w:trHeight w:val="310"/>
        </w:trPr>
        <w:tc>
          <w:tcPr>
            <w:tcW w:w="2891" w:type="dxa"/>
            <w:shd w:val="clear" w:color="auto" w:fill="F9D2D0" w:themeFill="accent1" w:themeFillTint="33"/>
            <w:vAlign w:val="center"/>
          </w:tcPr>
          <w:p w14:paraId="4858F5E2" w14:textId="0591B4EF" w:rsidR="00F9226A" w:rsidRPr="00BF334D" w:rsidRDefault="00F9226A" w:rsidP="00D0081F">
            <w:pPr>
              <w:pStyle w:val="DatosTabla"/>
              <w:rPr>
                <w:b/>
                <w:bCs/>
                <w:color w:val="auto"/>
              </w:rPr>
            </w:pPr>
            <w:r w:rsidRPr="00BF334D">
              <w:rPr>
                <w:rFonts w:ascii="Arial" w:eastAsia="Times New Roman" w:hAnsi="Arial" w:cs="Arial"/>
                <w:b/>
                <w:bCs/>
                <w:color w:val="auto"/>
                <w:szCs w:val="22"/>
                <w:lang w:val="es-ES" w:eastAsia="es-ES"/>
              </w:rPr>
              <w:t xml:space="preserve">ĐAKOVAČKI VODOVOD d.o.o. </w:t>
            </w:r>
          </w:p>
        </w:tc>
        <w:tc>
          <w:tcPr>
            <w:tcW w:w="2096" w:type="dxa"/>
            <w:vAlign w:val="center"/>
          </w:tcPr>
          <w:p w14:paraId="17DDB845" w14:textId="41D6EAC6" w:rsidR="00F9226A" w:rsidRPr="00A32F79" w:rsidRDefault="00F9226A" w:rsidP="00D0081F">
            <w:pPr>
              <w:pStyle w:val="DatosTabla"/>
            </w:pPr>
            <w:r w:rsidRPr="005573B3">
              <w:rPr>
                <w:rFonts w:ascii="Arial" w:eastAsia="Times New Roman" w:hAnsi="Arial" w:cs="Arial"/>
                <w:color w:val="000000"/>
                <w:szCs w:val="22"/>
                <w:lang w:val="es-ES" w:eastAsia="es-ES"/>
              </w:rPr>
              <w:t>Đakovo</w:t>
            </w:r>
          </w:p>
        </w:tc>
        <w:tc>
          <w:tcPr>
            <w:tcW w:w="2346" w:type="dxa"/>
            <w:shd w:val="clear" w:color="auto" w:fill="F9D2D0" w:themeFill="accent1" w:themeFillTint="33"/>
            <w:vAlign w:val="center"/>
          </w:tcPr>
          <w:p w14:paraId="2FF2F3DA" w14:textId="3296E625" w:rsidR="00F9226A" w:rsidRPr="00BF334D" w:rsidRDefault="00F9226A" w:rsidP="00D0081F">
            <w:pPr>
              <w:pStyle w:val="DatosTabla"/>
              <w:rPr>
                <w:b/>
                <w:bCs/>
                <w:color w:val="auto"/>
              </w:rPr>
            </w:pPr>
            <w:r w:rsidRPr="00D370A9">
              <w:rPr>
                <w:b/>
                <w:bCs/>
                <w:color w:val="auto"/>
                <w:lang w:val="es-ES"/>
              </w:rPr>
              <w:t>SEKUNDAR USLUGE</w:t>
            </w:r>
            <w:r>
              <w:rPr>
                <w:b/>
                <w:bCs/>
                <w:color w:val="auto"/>
                <w:lang w:val="es-ES"/>
              </w:rPr>
              <w:t xml:space="preserve"> d.o.o.</w:t>
            </w:r>
          </w:p>
        </w:tc>
        <w:tc>
          <w:tcPr>
            <w:tcW w:w="2369" w:type="dxa"/>
            <w:vAlign w:val="center"/>
          </w:tcPr>
          <w:p w14:paraId="1681C24C" w14:textId="6207E20C" w:rsidR="00F9226A" w:rsidRPr="00A32F79" w:rsidRDefault="00F9226A" w:rsidP="00D0081F">
            <w:pPr>
              <w:pStyle w:val="DatosTabla"/>
            </w:pPr>
            <w:r>
              <w:t>Permani</w:t>
            </w:r>
          </w:p>
        </w:tc>
      </w:tr>
      <w:tr w:rsidR="00F9226A" w14:paraId="006AB10D" w14:textId="77777777" w:rsidTr="009D7770">
        <w:trPr>
          <w:trHeight w:val="310"/>
        </w:trPr>
        <w:tc>
          <w:tcPr>
            <w:tcW w:w="2891" w:type="dxa"/>
            <w:shd w:val="clear" w:color="auto" w:fill="F9D2D0" w:themeFill="accent1" w:themeFillTint="33"/>
            <w:vAlign w:val="center"/>
          </w:tcPr>
          <w:p w14:paraId="3D559F28" w14:textId="2FFD3A40" w:rsidR="00F9226A" w:rsidRPr="00BF334D" w:rsidRDefault="00F9226A" w:rsidP="00D0081F">
            <w:pPr>
              <w:pStyle w:val="DatosTabla"/>
              <w:rPr>
                <w:b/>
                <w:bCs/>
                <w:color w:val="auto"/>
              </w:rPr>
            </w:pPr>
            <w:r w:rsidRPr="00BF334D">
              <w:rPr>
                <w:rFonts w:ascii="Arial" w:eastAsia="Times New Roman" w:hAnsi="Arial" w:cs="Arial"/>
                <w:b/>
                <w:bCs/>
                <w:color w:val="auto"/>
                <w:szCs w:val="22"/>
                <w:lang w:eastAsia="es-ES"/>
              </w:rPr>
              <w:t xml:space="preserve">DARKOM VODOOPSKRBA I ODVODNJA d.o.o. </w:t>
            </w:r>
          </w:p>
        </w:tc>
        <w:tc>
          <w:tcPr>
            <w:tcW w:w="2096" w:type="dxa"/>
            <w:vAlign w:val="center"/>
          </w:tcPr>
          <w:p w14:paraId="18C7856B" w14:textId="20B08005" w:rsidR="00F9226A" w:rsidRPr="00A32F79" w:rsidRDefault="00F9226A" w:rsidP="00D0081F">
            <w:pPr>
              <w:pStyle w:val="DatosTabla"/>
            </w:pPr>
            <w:r w:rsidRPr="005573B3">
              <w:rPr>
                <w:rFonts w:ascii="Arial" w:eastAsia="Times New Roman" w:hAnsi="Arial" w:cs="Arial"/>
                <w:color w:val="000000"/>
                <w:szCs w:val="22"/>
                <w:lang w:val="es-ES" w:eastAsia="es-ES"/>
              </w:rPr>
              <w:t>Daruvar</w:t>
            </w:r>
          </w:p>
        </w:tc>
        <w:tc>
          <w:tcPr>
            <w:tcW w:w="2346" w:type="dxa"/>
            <w:shd w:val="clear" w:color="auto" w:fill="F9D2D0" w:themeFill="accent1" w:themeFillTint="33"/>
            <w:vAlign w:val="center"/>
          </w:tcPr>
          <w:p w14:paraId="39562314" w14:textId="13BEE9A5" w:rsidR="00F9226A" w:rsidRPr="00BF334D" w:rsidRDefault="00F9226A" w:rsidP="00D0081F">
            <w:pPr>
              <w:pStyle w:val="DatosTabla"/>
              <w:rPr>
                <w:b/>
                <w:bCs/>
                <w:color w:val="auto"/>
              </w:rPr>
            </w:pPr>
            <w:r w:rsidRPr="00BF334D">
              <w:rPr>
                <w:rFonts w:ascii="Arial" w:eastAsia="Times New Roman" w:hAnsi="Arial" w:cs="Arial"/>
                <w:b/>
                <w:bCs/>
                <w:color w:val="auto"/>
                <w:szCs w:val="22"/>
                <w:lang w:val="es-ES" w:eastAsia="es-ES"/>
              </w:rPr>
              <w:t xml:space="preserve">TEKIJA d.o.o. </w:t>
            </w:r>
          </w:p>
        </w:tc>
        <w:tc>
          <w:tcPr>
            <w:tcW w:w="2369" w:type="dxa"/>
            <w:vAlign w:val="center"/>
          </w:tcPr>
          <w:p w14:paraId="388C7B80" w14:textId="1E161138" w:rsidR="00F9226A" w:rsidRPr="00A32F79" w:rsidRDefault="00F9226A" w:rsidP="00D0081F">
            <w:pPr>
              <w:pStyle w:val="DatosTabla"/>
            </w:pPr>
            <w:r w:rsidRPr="005573B3">
              <w:rPr>
                <w:rFonts w:ascii="Arial" w:eastAsia="Times New Roman" w:hAnsi="Arial" w:cs="Arial"/>
                <w:color w:val="000000"/>
                <w:szCs w:val="22"/>
                <w:lang w:val="es-ES" w:eastAsia="es-ES"/>
              </w:rPr>
              <w:t xml:space="preserve">Požega </w:t>
            </w:r>
          </w:p>
        </w:tc>
      </w:tr>
      <w:tr w:rsidR="00F9226A" w14:paraId="3096AEB0" w14:textId="77777777" w:rsidTr="009D7770">
        <w:trPr>
          <w:trHeight w:val="310"/>
        </w:trPr>
        <w:tc>
          <w:tcPr>
            <w:tcW w:w="2891" w:type="dxa"/>
            <w:shd w:val="clear" w:color="auto" w:fill="F9D2D0" w:themeFill="accent1" w:themeFillTint="33"/>
            <w:vAlign w:val="center"/>
          </w:tcPr>
          <w:p w14:paraId="1816E125" w14:textId="5D9D681A" w:rsidR="00F9226A" w:rsidRPr="00BF334D" w:rsidRDefault="00F9226A" w:rsidP="00D0081F">
            <w:pPr>
              <w:pStyle w:val="DatosTabla"/>
              <w:rPr>
                <w:b/>
                <w:bCs/>
                <w:color w:val="auto"/>
                <w:lang w:val="en-US"/>
              </w:rPr>
            </w:pPr>
            <w:r w:rsidRPr="00BF334D">
              <w:rPr>
                <w:rFonts w:ascii="Arial" w:eastAsia="Times New Roman" w:hAnsi="Arial" w:cs="Arial"/>
                <w:b/>
                <w:bCs/>
                <w:color w:val="auto"/>
                <w:szCs w:val="22"/>
                <w:lang w:val="en-US" w:eastAsia="es-ES"/>
              </w:rPr>
              <w:t>DUKOM PLIN d.o.o.</w:t>
            </w:r>
          </w:p>
        </w:tc>
        <w:tc>
          <w:tcPr>
            <w:tcW w:w="2096" w:type="dxa"/>
            <w:vAlign w:val="center"/>
          </w:tcPr>
          <w:p w14:paraId="40C7FC5E" w14:textId="7AAFA3D4" w:rsidR="00F9226A" w:rsidRPr="00A32F79" w:rsidRDefault="00F9226A" w:rsidP="00D0081F">
            <w:pPr>
              <w:pStyle w:val="DatosTabla"/>
            </w:pPr>
            <w:r w:rsidRPr="005573B3">
              <w:rPr>
                <w:rFonts w:ascii="Arial" w:eastAsia="Times New Roman" w:hAnsi="Arial" w:cs="Arial"/>
                <w:color w:val="000000"/>
                <w:szCs w:val="22"/>
                <w:lang w:val="es-ES" w:eastAsia="es-ES"/>
              </w:rPr>
              <w:t>Dugo Selo</w:t>
            </w:r>
          </w:p>
        </w:tc>
        <w:tc>
          <w:tcPr>
            <w:tcW w:w="2346" w:type="dxa"/>
            <w:shd w:val="clear" w:color="auto" w:fill="F9D2D0" w:themeFill="accent1" w:themeFillTint="33"/>
            <w:vAlign w:val="center"/>
          </w:tcPr>
          <w:p w14:paraId="532982C5" w14:textId="510DC74D" w:rsidR="00F9226A" w:rsidRPr="00BF334D" w:rsidRDefault="00F9226A" w:rsidP="00D0081F">
            <w:pPr>
              <w:pStyle w:val="DatosTabla"/>
              <w:rPr>
                <w:b/>
                <w:bCs/>
                <w:color w:val="auto"/>
                <w:lang w:val="es-ES"/>
              </w:rPr>
            </w:pPr>
            <w:r w:rsidRPr="00BF334D">
              <w:rPr>
                <w:rFonts w:ascii="Arial" w:eastAsia="Times New Roman" w:hAnsi="Arial" w:cs="Arial"/>
                <w:b/>
                <w:bCs/>
                <w:color w:val="auto"/>
                <w:szCs w:val="22"/>
                <w:lang w:val="en-US" w:eastAsia="es-ES"/>
              </w:rPr>
              <w:t>TIGRA d.o.o.</w:t>
            </w:r>
          </w:p>
        </w:tc>
        <w:tc>
          <w:tcPr>
            <w:tcW w:w="2369" w:type="dxa"/>
            <w:vAlign w:val="center"/>
          </w:tcPr>
          <w:p w14:paraId="7A8A8ED6" w14:textId="18A3A586" w:rsidR="00F9226A" w:rsidRPr="00A32F79" w:rsidRDefault="00F9226A" w:rsidP="00D0081F">
            <w:pPr>
              <w:pStyle w:val="DatosTabla"/>
            </w:pPr>
            <w:r>
              <w:rPr>
                <w:rFonts w:ascii="Arial" w:eastAsia="Times New Roman" w:hAnsi="Arial" w:cs="Arial"/>
                <w:color w:val="000000"/>
                <w:szCs w:val="22"/>
                <w:lang w:val="es-ES" w:eastAsia="es-ES"/>
              </w:rPr>
              <w:t>Zagreb</w:t>
            </w:r>
          </w:p>
        </w:tc>
      </w:tr>
      <w:tr w:rsidR="00F9226A" w14:paraId="0F3B9C00" w14:textId="77777777" w:rsidTr="009D7770">
        <w:trPr>
          <w:trHeight w:val="310"/>
        </w:trPr>
        <w:tc>
          <w:tcPr>
            <w:tcW w:w="2891" w:type="dxa"/>
            <w:shd w:val="clear" w:color="auto" w:fill="F9D2D0" w:themeFill="accent1" w:themeFillTint="33"/>
            <w:vAlign w:val="center"/>
          </w:tcPr>
          <w:p w14:paraId="1FB87506" w14:textId="72DFA59E" w:rsidR="00F9226A" w:rsidRPr="00BF334D" w:rsidRDefault="00F9226A" w:rsidP="00D0081F">
            <w:pPr>
              <w:pStyle w:val="DatosTabla"/>
              <w:rPr>
                <w:b/>
                <w:bCs/>
                <w:color w:val="auto"/>
              </w:rPr>
            </w:pPr>
            <w:r w:rsidRPr="00BF334D">
              <w:rPr>
                <w:rFonts w:ascii="Arial" w:eastAsia="Times New Roman" w:hAnsi="Arial" w:cs="Arial"/>
                <w:b/>
                <w:bCs/>
                <w:color w:val="auto"/>
                <w:szCs w:val="22"/>
                <w:lang w:val="es-ES" w:eastAsia="es-ES"/>
              </w:rPr>
              <w:t>EKO-MURVICA d.o.o.</w:t>
            </w:r>
          </w:p>
        </w:tc>
        <w:tc>
          <w:tcPr>
            <w:tcW w:w="2096" w:type="dxa"/>
            <w:vAlign w:val="center"/>
          </w:tcPr>
          <w:p w14:paraId="026E2DEB" w14:textId="08E1A3ED" w:rsidR="00F9226A" w:rsidRPr="00312792" w:rsidRDefault="00F9226A" w:rsidP="00D0081F">
            <w:pPr>
              <w:pStyle w:val="DatosTabla"/>
              <w:rPr>
                <w:b/>
                <w:bCs/>
              </w:rPr>
            </w:pPr>
            <w:r w:rsidRPr="00EB53C5">
              <w:rPr>
                <w:rFonts w:ascii="Arial" w:eastAsia="Times New Roman" w:hAnsi="Arial" w:cs="Arial"/>
                <w:color w:val="000000"/>
                <w:szCs w:val="22"/>
                <w:lang w:val="es-ES" w:eastAsia="es-ES"/>
              </w:rPr>
              <w:t>Crikvenica</w:t>
            </w:r>
          </w:p>
        </w:tc>
        <w:tc>
          <w:tcPr>
            <w:tcW w:w="2346" w:type="dxa"/>
            <w:shd w:val="clear" w:color="auto" w:fill="F9D2D0" w:themeFill="accent1" w:themeFillTint="33"/>
            <w:vAlign w:val="center"/>
          </w:tcPr>
          <w:p w14:paraId="57E42F77" w14:textId="33FA8E11" w:rsidR="00F9226A" w:rsidRPr="00BF334D" w:rsidRDefault="00F9226A" w:rsidP="00D0081F">
            <w:pPr>
              <w:pStyle w:val="DatosTabla"/>
              <w:rPr>
                <w:b/>
                <w:bCs/>
                <w:color w:val="auto"/>
              </w:rPr>
            </w:pPr>
            <w:r w:rsidRPr="00BF334D">
              <w:rPr>
                <w:rFonts w:ascii="Arial" w:eastAsia="Times New Roman" w:hAnsi="Arial" w:cs="Arial"/>
                <w:b/>
                <w:bCs/>
                <w:color w:val="auto"/>
                <w:szCs w:val="22"/>
                <w:lang w:val="es-ES" w:eastAsia="es-ES"/>
              </w:rPr>
              <w:t>VARKOM d.o.o.</w:t>
            </w:r>
          </w:p>
        </w:tc>
        <w:tc>
          <w:tcPr>
            <w:tcW w:w="2369" w:type="dxa"/>
            <w:vAlign w:val="center"/>
          </w:tcPr>
          <w:p w14:paraId="67FDD0AE" w14:textId="2E28F280" w:rsidR="00F9226A" w:rsidRPr="00312792" w:rsidRDefault="00F9226A" w:rsidP="00D0081F">
            <w:pPr>
              <w:pStyle w:val="DatosTabla"/>
              <w:rPr>
                <w:b/>
                <w:bCs/>
              </w:rPr>
            </w:pPr>
            <w:r w:rsidRPr="00DD6652">
              <w:rPr>
                <w:rFonts w:ascii="Arial" w:eastAsia="Times New Roman" w:hAnsi="Arial" w:cs="Arial"/>
                <w:color w:val="auto"/>
                <w:szCs w:val="22"/>
                <w:lang w:val="es-ES" w:eastAsia="es-ES"/>
              </w:rPr>
              <w:t>Varaždin</w:t>
            </w:r>
          </w:p>
        </w:tc>
      </w:tr>
      <w:tr w:rsidR="00F9226A" w14:paraId="1CA10A2F" w14:textId="77777777" w:rsidTr="009D7770">
        <w:trPr>
          <w:trHeight w:val="310"/>
        </w:trPr>
        <w:tc>
          <w:tcPr>
            <w:tcW w:w="2891" w:type="dxa"/>
            <w:shd w:val="clear" w:color="auto" w:fill="F9D2D0" w:themeFill="accent1" w:themeFillTint="33"/>
            <w:vAlign w:val="center"/>
          </w:tcPr>
          <w:p w14:paraId="7CDC57FB" w14:textId="5F2E1D22" w:rsidR="00F9226A" w:rsidRPr="00BF334D" w:rsidRDefault="00F9226A" w:rsidP="00D0081F">
            <w:pPr>
              <w:pStyle w:val="DatosTabla"/>
              <w:rPr>
                <w:rFonts w:ascii="Arial" w:eastAsia="Times New Roman" w:hAnsi="Arial" w:cs="Arial"/>
                <w:b/>
                <w:bCs/>
                <w:color w:val="auto"/>
                <w:szCs w:val="22"/>
                <w:lang w:val="es-ES" w:eastAsia="es-ES"/>
              </w:rPr>
            </w:pPr>
            <w:r w:rsidRPr="00BF334D">
              <w:rPr>
                <w:rFonts w:ascii="Arial" w:eastAsia="Times New Roman" w:hAnsi="Arial" w:cs="Arial"/>
                <w:b/>
                <w:bCs/>
                <w:color w:val="auto"/>
                <w:szCs w:val="22"/>
                <w:lang w:val="es-ES" w:eastAsia="es-ES"/>
              </w:rPr>
              <w:t>GEORAD d.o.o.</w:t>
            </w:r>
          </w:p>
        </w:tc>
        <w:tc>
          <w:tcPr>
            <w:tcW w:w="2096" w:type="dxa"/>
            <w:vAlign w:val="center"/>
          </w:tcPr>
          <w:p w14:paraId="2C2829ED" w14:textId="7C03FA84" w:rsidR="00F9226A" w:rsidRPr="005573B3" w:rsidRDefault="00F9226A" w:rsidP="00D0081F">
            <w:pPr>
              <w:pStyle w:val="DatosTabla"/>
              <w:rPr>
                <w:rFonts w:ascii="Arial" w:eastAsia="Times New Roman" w:hAnsi="Arial" w:cs="Arial"/>
                <w:color w:val="000000"/>
                <w:szCs w:val="22"/>
                <w:lang w:val="es-ES" w:eastAsia="es-ES"/>
              </w:rPr>
            </w:pPr>
            <w:r>
              <w:rPr>
                <w:rFonts w:ascii="Arial" w:eastAsia="Times New Roman" w:hAnsi="Arial" w:cs="Arial"/>
                <w:color w:val="000000"/>
                <w:szCs w:val="22"/>
                <w:lang w:val="es-ES" w:eastAsia="es-ES"/>
              </w:rPr>
              <w:t>Zagreb</w:t>
            </w:r>
          </w:p>
        </w:tc>
        <w:tc>
          <w:tcPr>
            <w:tcW w:w="2346" w:type="dxa"/>
            <w:shd w:val="clear" w:color="auto" w:fill="F9D2D0" w:themeFill="accent1" w:themeFillTint="33"/>
            <w:vAlign w:val="center"/>
          </w:tcPr>
          <w:p w14:paraId="1BDD38C0" w14:textId="5D1236CA" w:rsidR="00F9226A" w:rsidRPr="00BF334D" w:rsidRDefault="00F9226A" w:rsidP="00D0081F">
            <w:pPr>
              <w:pStyle w:val="DatosTabla"/>
              <w:rPr>
                <w:rFonts w:ascii="Arial" w:eastAsia="Times New Roman" w:hAnsi="Arial" w:cs="Arial"/>
                <w:b/>
                <w:bCs/>
                <w:color w:val="auto"/>
                <w:szCs w:val="22"/>
                <w:lang w:val="en-US" w:eastAsia="es-ES"/>
              </w:rPr>
            </w:pPr>
            <w:r w:rsidRPr="00BF334D">
              <w:rPr>
                <w:rFonts w:ascii="Arial" w:eastAsia="Times New Roman" w:hAnsi="Arial" w:cs="Arial"/>
                <w:b/>
                <w:bCs/>
                <w:color w:val="auto"/>
                <w:szCs w:val="22"/>
                <w:lang w:val="es-ES" w:eastAsia="es-ES"/>
              </w:rPr>
              <w:t>VODAKOM d.o.o.</w:t>
            </w:r>
          </w:p>
        </w:tc>
        <w:tc>
          <w:tcPr>
            <w:tcW w:w="2369" w:type="dxa"/>
            <w:vAlign w:val="center"/>
          </w:tcPr>
          <w:p w14:paraId="10D6D473" w14:textId="1ECCD44D" w:rsidR="00F9226A" w:rsidRPr="005573B3" w:rsidRDefault="00F9226A" w:rsidP="00D0081F">
            <w:pPr>
              <w:pStyle w:val="DatosTabla"/>
              <w:rPr>
                <w:rFonts w:ascii="Arial" w:eastAsia="Times New Roman" w:hAnsi="Arial" w:cs="Arial"/>
                <w:color w:val="000000"/>
                <w:szCs w:val="22"/>
                <w:lang w:val="es-ES" w:eastAsia="es-ES"/>
              </w:rPr>
            </w:pPr>
            <w:r w:rsidRPr="00993D98">
              <w:rPr>
                <w:rFonts w:ascii="Arial" w:eastAsia="Times New Roman" w:hAnsi="Arial" w:cs="Arial"/>
                <w:color w:val="000000"/>
                <w:szCs w:val="22"/>
                <w:lang w:val="es-ES" w:eastAsia="es-ES"/>
              </w:rPr>
              <w:t>Pitomača</w:t>
            </w:r>
          </w:p>
        </w:tc>
      </w:tr>
      <w:tr w:rsidR="00F9226A" w14:paraId="726ADD8C" w14:textId="77777777" w:rsidTr="009D7770">
        <w:trPr>
          <w:trHeight w:val="310"/>
        </w:trPr>
        <w:tc>
          <w:tcPr>
            <w:tcW w:w="2891" w:type="dxa"/>
            <w:shd w:val="clear" w:color="auto" w:fill="F9D2D0" w:themeFill="accent1" w:themeFillTint="33"/>
            <w:vAlign w:val="center"/>
          </w:tcPr>
          <w:p w14:paraId="69106EB6" w14:textId="7BBB0399" w:rsidR="00F9226A" w:rsidRPr="00BF334D" w:rsidRDefault="00F9226A" w:rsidP="00D0081F">
            <w:pPr>
              <w:pStyle w:val="DatosTabla"/>
              <w:rPr>
                <w:rFonts w:ascii="Arial" w:eastAsia="Times New Roman" w:hAnsi="Arial" w:cs="Arial"/>
                <w:b/>
                <w:bCs/>
                <w:color w:val="auto"/>
                <w:szCs w:val="22"/>
                <w:lang w:val="es-ES" w:eastAsia="es-ES"/>
              </w:rPr>
            </w:pPr>
            <w:r w:rsidRPr="00BF334D">
              <w:rPr>
                <w:rFonts w:ascii="Arial" w:eastAsia="Times New Roman" w:hAnsi="Arial" w:cs="Arial"/>
                <w:b/>
                <w:bCs/>
                <w:color w:val="auto"/>
                <w:szCs w:val="22"/>
                <w:lang w:val="es-ES" w:eastAsia="es-ES"/>
              </w:rPr>
              <w:t>GKP ČAKOM d.o.o.</w:t>
            </w:r>
          </w:p>
        </w:tc>
        <w:tc>
          <w:tcPr>
            <w:tcW w:w="2096" w:type="dxa"/>
            <w:vAlign w:val="center"/>
          </w:tcPr>
          <w:p w14:paraId="36741A74" w14:textId="5085F161"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Mihovljan</w:t>
            </w:r>
          </w:p>
        </w:tc>
        <w:tc>
          <w:tcPr>
            <w:tcW w:w="2346" w:type="dxa"/>
            <w:shd w:val="clear" w:color="auto" w:fill="F9D2D0" w:themeFill="accent1" w:themeFillTint="33"/>
            <w:vAlign w:val="center"/>
          </w:tcPr>
          <w:p w14:paraId="1F27A1EB" w14:textId="708A8489" w:rsidR="00F9226A" w:rsidRPr="00BF334D" w:rsidRDefault="00F9226A" w:rsidP="00D0081F">
            <w:pPr>
              <w:pStyle w:val="DatosTabla"/>
              <w:rPr>
                <w:rFonts w:ascii="Arial" w:eastAsia="Times New Roman" w:hAnsi="Arial" w:cs="Arial"/>
                <w:b/>
                <w:bCs/>
                <w:color w:val="auto"/>
                <w:szCs w:val="22"/>
                <w:lang w:val="de-DE" w:eastAsia="es-ES"/>
              </w:rPr>
            </w:pPr>
            <w:r w:rsidRPr="00BF334D">
              <w:rPr>
                <w:rFonts w:ascii="Arial" w:eastAsia="Times New Roman" w:hAnsi="Arial" w:cs="Arial"/>
                <w:b/>
                <w:bCs/>
                <w:color w:val="auto"/>
                <w:szCs w:val="22"/>
                <w:lang w:val="es-ES" w:eastAsia="es-ES"/>
              </w:rPr>
              <w:t>VODE JASTREBARSKO d.o.o.</w:t>
            </w:r>
          </w:p>
        </w:tc>
        <w:tc>
          <w:tcPr>
            <w:tcW w:w="2369" w:type="dxa"/>
            <w:vAlign w:val="center"/>
          </w:tcPr>
          <w:p w14:paraId="4E7B7CAD" w14:textId="0D0B6D37"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Jastrebarsko</w:t>
            </w:r>
          </w:p>
        </w:tc>
      </w:tr>
      <w:tr w:rsidR="00F9226A" w14:paraId="5EFCC3BE" w14:textId="77777777" w:rsidTr="009D7770">
        <w:trPr>
          <w:trHeight w:val="310"/>
        </w:trPr>
        <w:tc>
          <w:tcPr>
            <w:tcW w:w="2891" w:type="dxa"/>
            <w:shd w:val="clear" w:color="auto" w:fill="F9D2D0" w:themeFill="accent1" w:themeFillTint="33"/>
            <w:vAlign w:val="center"/>
          </w:tcPr>
          <w:p w14:paraId="4C708E03" w14:textId="40A21FC4" w:rsidR="00F9226A" w:rsidRPr="00BF334D" w:rsidRDefault="00F9226A" w:rsidP="00D0081F">
            <w:pPr>
              <w:pStyle w:val="DatosTabla"/>
              <w:rPr>
                <w:rFonts w:ascii="Arial" w:eastAsia="Times New Roman" w:hAnsi="Arial" w:cs="Arial"/>
                <w:b/>
                <w:bCs/>
                <w:color w:val="auto"/>
                <w:szCs w:val="22"/>
                <w:lang w:val="es-ES" w:eastAsia="es-ES"/>
              </w:rPr>
            </w:pPr>
            <w:r>
              <w:rPr>
                <w:rFonts w:ascii="Arial" w:eastAsia="Times New Roman" w:hAnsi="Arial" w:cs="Arial"/>
                <w:b/>
                <w:bCs/>
                <w:color w:val="auto"/>
                <w:szCs w:val="22"/>
                <w:lang w:val="es-ES" w:eastAsia="es-ES"/>
              </w:rPr>
              <w:t>GRAVIA d.o.o.</w:t>
            </w:r>
          </w:p>
        </w:tc>
        <w:tc>
          <w:tcPr>
            <w:tcW w:w="2096" w:type="dxa"/>
            <w:vAlign w:val="center"/>
          </w:tcPr>
          <w:p w14:paraId="1504EC4C" w14:textId="6C03EBA6" w:rsidR="00F9226A" w:rsidRPr="005573B3" w:rsidRDefault="00F9226A" w:rsidP="00D0081F">
            <w:pPr>
              <w:pStyle w:val="DatosTabla"/>
              <w:rPr>
                <w:rFonts w:ascii="Arial" w:eastAsia="Times New Roman" w:hAnsi="Arial" w:cs="Arial"/>
                <w:color w:val="000000"/>
                <w:szCs w:val="22"/>
                <w:lang w:val="es-ES" w:eastAsia="es-ES"/>
              </w:rPr>
            </w:pPr>
            <w:r>
              <w:rPr>
                <w:rFonts w:ascii="Arial" w:eastAsia="Times New Roman" w:hAnsi="Arial" w:cs="Arial"/>
                <w:color w:val="000000"/>
                <w:szCs w:val="22"/>
                <w:lang w:val="es-ES" w:eastAsia="es-ES"/>
              </w:rPr>
              <w:t>Osijek</w:t>
            </w:r>
          </w:p>
        </w:tc>
        <w:tc>
          <w:tcPr>
            <w:tcW w:w="2346" w:type="dxa"/>
            <w:shd w:val="clear" w:color="auto" w:fill="F9D2D0" w:themeFill="accent1" w:themeFillTint="33"/>
            <w:vAlign w:val="center"/>
          </w:tcPr>
          <w:p w14:paraId="78E9E5F7" w14:textId="1C8E0A16" w:rsidR="00F9226A" w:rsidRPr="00BF334D" w:rsidRDefault="00F9226A" w:rsidP="00D0081F">
            <w:pPr>
              <w:pStyle w:val="DatosTabla"/>
              <w:rPr>
                <w:rFonts w:ascii="Arial" w:eastAsia="Times New Roman" w:hAnsi="Arial" w:cs="Arial"/>
                <w:b/>
                <w:bCs/>
                <w:color w:val="auto"/>
                <w:szCs w:val="22"/>
                <w:lang w:val="en-US" w:eastAsia="es-ES"/>
              </w:rPr>
            </w:pPr>
            <w:r w:rsidRPr="00BF334D">
              <w:rPr>
                <w:rFonts w:ascii="Arial" w:eastAsia="Times New Roman" w:hAnsi="Arial" w:cs="Arial"/>
                <w:b/>
                <w:bCs/>
                <w:color w:val="auto"/>
                <w:szCs w:val="22"/>
                <w:lang w:val="en-US" w:eastAsia="es-ES"/>
              </w:rPr>
              <w:t>VODE LIPIK d.o.o.</w:t>
            </w:r>
          </w:p>
        </w:tc>
        <w:tc>
          <w:tcPr>
            <w:tcW w:w="2369" w:type="dxa"/>
            <w:vAlign w:val="center"/>
          </w:tcPr>
          <w:p w14:paraId="40282413" w14:textId="1025B0E8"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Pakrac</w:t>
            </w:r>
          </w:p>
        </w:tc>
      </w:tr>
      <w:tr w:rsidR="00F9226A" w:rsidRPr="00FF6AF7" w14:paraId="25D27795" w14:textId="77777777" w:rsidTr="009D7770">
        <w:trPr>
          <w:trHeight w:val="310"/>
        </w:trPr>
        <w:tc>
          <w:tcPr>
            <w:tcW w:w="2891" w:type="dxa"/>
            <w:shd w:val="clear" w:color="auto" w:fill="F9D2D0" w:themeFill="accent1" w:themeFillTint="33"/>
            <w:vAlign w:val="center"/>
          </w:tcPr>
          <w:p w14:paraId="08C248DC" w14:textId="081A1F6B" w:rsidR="00F9226A" w:rsidRPr="00BF334D" w:rsidRDefault="00F9226A" w:rsidP="00D0081F">
            <w:pPr>
              <w:pStyle w:val="DatosTabla"/>
              <w:rPr>
                <w:rFonts w:ascii="Arial" w:eastAsia="Times New Roman" w:hAnsi="Arial" w:cs="Arial"/>
                <w:b/>
                <w:bCs/>
                <w:color w:val="auto"/>
                <w:szCs w:val="22"/>
                <w:lang w:val="es-ES" w:eastAsia="es-ES"/>
              </w:rPr>
            </w:pPr>
            <w:r w:rsidRPr="00BF334D">
              <w:rPr>
                <w:rFonts w:ascii="Arial" w:eastAsia="Times New Roman" w:hAnsi="Arial" w:cs="Arial"/>
                <w:b/>
                <w:bCs/>
                <w:color w:val="auto"/>
                <w:szCs w:val="22"/>
                <w:lang w:val="es-ES" w:eastAsia="es-ES"/>
              </w:rPr>
              <w:t>HVARSKI VODOVOD d.o.o.</w:t>
            </w:r>
          </w:p>
        </w:tc>
        <w:tc>
          <w:tcPr>
            <w:tcW w:w="2096" w:type="dxa"/>
            <w:vAlign w:val="center"/>
          </w:tcPr>
          <w:p w14:paraId="2071E349" w14:textId="6D340377"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Jelsa</w:t>
            </w:r>
          </w:p>
        </w:tc>
        <w:tc>
          <w:tcPr>
            <w:tcW w:w="2346" w:type="dxa"/>
            <w:shd w:val="clear" w:color="auto" w:fill="F9D2D0" w:themeFill="accent1" w:themeFillTint="33"/>
            <w:vAlign w:val="center"/>
          </w:tcPr>
          <w:p w14:paraId="4C29264F" w14:textId="11006FA1" w:rsidR="00F9226A" w:rsidRPr="00FF6AF7" w:rsidRDefault="00F9226A" w:rsidP="00D0081F">
            <w:pPr>
              <w:pStyle w:val="DatosTabla"/>
              <w:rPr>
                <w:rFonts w:ascii="Arial" w:eastAsia="Times New Roman" w:hAnsi="Arial" w:cs="Arial"/>
                <w:b/>
                <w:bCs/>
                <w:color w:val="auto"/>
                <w:szCs w:val="22"/>
                <w:lang w:val="en-US" w:eastAsia="es-ES"/>
              </w:rPr>
            </w:pPr>
            <w:r w:rsidRPr="00FF6AF7">
              <w:rPr>
                <w:rFonts w:ascii="Arial" w:eastAsia="Times New Roman" w:hAnsi="Arial" w:cs="Arial"/>
                <w:b/>
                <w:bCs/>
                <w:color w:val="auto"/>
                <w:szCs w:val="22"/>
                <w:lang w:val="en-US" w:eastAsia="es-ES"/>
              </w:rPr>
              <w:t>VODNE USLUGE d.o.o</w:t>
            </w:r>
            <w:r>
              <w:rPr>
                <w:rFonts w:ascii="Arial" w:eastAsia="Times New Roman" w:hAnsi="Arial" w:cs="Arial"/>
                <w:b/>
                <w:bCs/>
                <w:color w:val="auto"/>
                <w:szCs w:val="22"/>
                <w:lang w:val="en-US" w:eastAsia="es-ES"/>
              </w:rPr>
              <w:t>.</w:t>
            </w:r>
          </w:p>
        </w:tc>
        <w:tc>
          <w:tcPr>
            <w:tcW w:w="2369" w:type="dxa"/>
            <w:vAlign w:val="center"/>
          </w:tcPr>
          <w:p w14:paraId="61AF86C7" w14:textId="58C72191" w:rsidR="00F9226A" w:rsidRPr="00FF6AF7" w:rsidRDefault="00F9226A" w:rsidP="00D0081F">
            <w:pPr>
              <w:pStyle w:val="DatosTabla"/>
              <w:rPr>
                <w:rFonts w:ascii="Arial" w:eastAsia="Times New Roman" w:hAnsi="Arial" w:cs="Arial"/>
                <w:color w:val="000000"/>
                <w:szCs w:val="22"/>
                <w:lang w:val="en-US" w:eastAsia="es-ES"/>
              </w:rPr>
            </w:pPr>
            <w:r w:rsidRPr="00FF6AF7">
              <w:rPr>
                <w:rFonts w:ascii="Arial" w:eastAsia="Times New Roman" w:hAnsi="Arial" w:cs="Arial"/>
                <w:color w:val="000000"/>
                <w:szCs w:val="22"/>
                <w:lang w:val="en-US" w:eastAsia="es-ES"/>
              </w:rPr>
              <w:t>Križevci</w:t>
            </w:r>
          </w:p>
        </w:tc>
      </w:tr>
      <w:tr w:rsidR="00F9226A" w14:paraId="656314B6" w14:textId="77777777" w:rsidTr="009D7770">
        <w:trPr>
          <w:trHeight w:val="310"/>
        </w:trPr>
        <w:tc>
          <w:tcPr>
            <w:tcW w:w="2891" w:type="dxa"/>
            <w:shd w:val="clear" w:color="auto" w:fill="F9D2D0" w:themeFill="accent1" w:themeFillTint="33"/>
            <w:vAlign w:val="center"/>
          </w:tcPr>
          <w:p w14:paraId="16424934" w14:textId="4D0DD059" w:rsidR="00F9226A" w:rsidRPr="00BF334D" w:rsidRDefault="00F9226A" w:rsidP="00D0081F">
            <w:pPr>
              <w:pStyle w:val="DatosTabla"/>
              <w:rPr>
                <w:rFonts w:ascii="Arial" w:eastAsia="Times New Roman" w:hAnsi="Arial" w:cs="Arial"/>
                <w:b/>
                <w:bCs/>
                <w:color w:val="auto"/>
                <w:szCs w:val="22"/>
                <w:lang w:val="es-ES" w:eastAsia="es-ES"/>
              </w:rPr>
            </w:pPr>
            <w:r w:rsidRPr="00BF334D">
              <w:rPr>
                <w:rFonts w:ascii="Arial" w:eastAsia="Times New Roman" w:hAnsi="Arial" w:cs="Arial"/>
                <w:b/>
                <w:bCs/>
                <w:color w:val="auto"/>
                <w:szCs w:val="22"/>
                <w:lang w:val="es-ES" w:eastAsia="es-ES"/>
              </w:rPr>
              <w:t>INNECTO d.o.o.</w:t>
            </w:r>
          </w:p>
        </w:tc>
        <w:tc>
          <w:tcPr>
            <w:tcW w:w="2096" w:type="dxa"/>
            <w:vAlign w:val="center"/>
          </w:tcPr>
          <w:p w14:paraId="07FEFA9A" w14:textId="25FEB815" w:rsidR="00F9226A" w:rsidRPr="005573B3" w:rsidRDefault="00F9226A" w:rsidP="00D0081F">
            <w:pPr>
              <w:pStyle w:val="DatosTabla"/>
              <w:rPr>
                <w:rFonts w:ascii="Arial" w:eastAsia="Times New Roman" w:hAnsi="Arial" w:cs="Arial"/>
                <w:color w:val="000000"/>
                <w:szCs w:val="22"/>
                <w:lang w:val="es-ES" w:eastAsia="es-ES"/>
              </w:rPr>
            </w:pPr>
            <w:r>
              <w:rPr>
                <w:rFonts w:ascii="Arial" w:eastAsia="Times New Roman" w:hAnsi="Arial" w:cs="Arial"/>
                <w:color w:val="000000"/>
                <w:szCs w:val="22"/>
                <w:lang w:val="es-ES" w:eastAsia="es-ES"/>
              </w:rPr>
              <w:t>Split</w:t>
            </w:r>
          </w:p>
        </w:tc>
        <w:tc>
          <w:tcPr>
            <w:tcW w:w="2346" w:type="dxa"/>
            <w:shd w:val="clear" w:color="auto" w:fill="F9D2D0" w:themeFill="accent1" w:themeFillTint="33"/>
            <w:vAlign w:val="center"/>
          </w:tcPr>
          <w:p w14:paraId="5BE0ADF3" w14:textId="6A5FACB6" w:rsidR="00F9226A" w:rsidRPr="00BF334D" w:rsidRDefault="00F9226A" w:rsidP="00D0081F">
            <w:pPr>
              <w:pStyle w:val="DatosTabla"/>
              <w:rPr>
                <w:rFonts w:ascii="Arial" w:eastAsia="Times New Roman" w:hAnsi="Arial" w:cs="Arial"/>
                <w:b/>
                <w:bCs/>
                <w:color w:val="auto"/>
                <w:szCs w:val="22"/>
                <w:lang w:val="en-US" w:eastAsia="es-ES"/>
              </w:rPr>
            </w:pPr>
            <w:r w:rsidRPr="00BF334D">
              <w:rPr>
                <w:rFonts w:ascii="Arial" w:eastAsia="Times New Roman" w:hAnsi="Arial" w:cs="Arial"/>
                <w:b/>
                <w:bCs/>
                <w:color w:val="auto"/>
                <w:szCs w:val="22"/>
                <w:lang w:val="en-US" w:eastAsia="es-ES"/>
              </w:rPr>
              <w:t>VODOINSTALACIJA d.o.o.</w:t>
            </w:r>
          </w:p>
        </w:tc>
        <w:tc>
          <w:tcPr>
            <w:tcW w:w="2369" w:type="dxa"/>
            <w:vAlign w:val="center"/>
          </w:tcPr>
          <w:p w14:paraId="557E3278" w14:textId="7371B7AD" w:rsidR="00F9226A" w:rsidRPr="005573B3" w:rsidRDefault="00F9226A" w:rsidP="00D0081F">
            <w:pPr>
              <w:pStyle w:val="DatosTabla"/>
              <w:rPr>
                <w:rFonts w:ascii="Arial" w:eastAsia="Times New Roman" w:hAnsi="Arial" w:cs="Arial"/>
                <w:color w:val="000000"/>
                <w:szCs w:val="22"/>
                <w:lang w:val="es-ES" w:eastAsia="es-ES"/>
              </w:rPr>
            </w:pPr>
            <w:r>
              <w:rPr>
                <w:rFonts w:ascii="Arial" w:eastAsia="Times New Roman" w:hAnsi="Arial" w:cs="Arial"/>
                <w:color w:val="000000"/>
                <w:szCs w:val="22"/>
                <w:lang w:val="es-ES" w:eastAsia="es-ES"/>
              </w:rPr>
              <w:t>Zadar</w:t>
            </w:r>
          </w:p>
        </w:tc>
      </w:tr>
      <w:tr w:rsidR="00F9226A" w14:paraId="0B7C2C33" w14:textId="77777777" w:rsidTr="009D7770">
        <w:trPr>
          <w:trHeight w:val="310"/>
        </w:trPr>
        <w:tc>
          <w:tcPr>
            <w:tcW w:w="2891" w:type="dxa"/>
            <w:shd w:val="clear" w:color="auto" w:fill="F9D2D0" w:themeFill="accent1" w:themeFillTint="33"/>
            <w:vAlign w:val="center"/>
          </w:tcPr>
          <w:p w14:paraId="251E7245" w14:textId="4563B618" w:rsidR="00F9226A" w:rsidRPr="00BF334D" w:rsidRDefault="00F9226A" w:rsidP="00D0081F">
            <w:pPr>
              <w:pStyle w:val="DatosTabla"/>
              <w:rPr>
                <w:rFonts w:ascii="Arial" w:eastAsia="Times New Roman" w:hAnsi="Arial" w:cs="Arial"/>
                <w:b/>
                <w:bCs/>
                <w:color w:val="auto"/>
                <w:szCs w:val="22"/>
                <w:lang w:val="es-ES" w:eastAsia="es-ES"/>
              </w:rPr>
            </w:pPr>
            <w:r w:rsidRPr="00BF334D">
              <w:rPr>
                <w:rFonts w:ascii="Arial" w:eastAsia="Times New Roman" w:hAnsi="Arial" w:cs="Arial"/>
                <w:b/>
                <w:bCs/>
                <w:color w:val="auto"/>
                <w:szCs w:val="22"/>
                <w:lang w:val="es-ES" w:eastAsia="es-ES"/>
              </w:rPr>
              <w:t>ISTARSKI VODOVOD d.o.o.</w:t>
            </w:r>
          </w:p>
        </w:tc>
        <w:tc>
          <w:tcPr>
            <w:tcW w:w="2096" w:type="dxa"/>
            <w:vAlign w:val="center"/>
          </w:tcPr>
          <w:p w14:paraId="1C1286FA" w14:textId="1D4D8180"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Buzet</w:t>
            </w:r>
          </w:p>
        </w:tc>
        <w:tc>
          <w:tcPr>
            <w:tcW w:w="2346" w:type="dxa"/>
            <w:shd w:val="clear" w:color="auto" w:fill="F9D2D0" w:themeFill="accent1" w:themeFillTint="33"/>
            <w:vAlign w:val="center"/>
          </w:tcPr>
          <w:p w14:paraId="0DD0EA5B" w14:textId="6CA067D3" w:rsidR="00F9226A" w:rsidRPr="00BF334D" w:rsidRDefault="00F9226A" w:rsidP="00D0081F">
            <w:pPr>
              <w:pStyle w:val="DatosTabla"/>
              <w:rPr>
                <w:rFonts w:ascii="Arial" w:eastAsia="Times New Roman" w:hAnsi="Arial" w:cs="Arial"/>
                <w:b/>
                <w:bCs/>
                <w:color w:val="auto"/>
                <w:szCs w:val="22"/>
                <w:lang w:val="en-US" w:eastAsia="es-ES"/>
              </w:rPr>
            </w:pPr>
            <w:r w:rsidRPr="00D370A9">
              <w:rPr>
                <w:rFonts w:ascii="Arial" w:eastAsia="Times New Roman" w:hAnsi="Arial" w:cs="Arial"/>
                <w:b/>
                <w:bCs/>
                <w:color w:val="auto"/>
                <w:szCs w:val="22"/>
                <w:lang w:val="en-US" w:eastAsia="es-ES"/>
              </w:rPr>
              <w:t xml:space="preserve">VODOPRIVREDA KARLOVAC </w:t>
            </w:r>
            <w:r>
              <w:rPr>
                <w:rFonts w:ascii="Arial" w:eastAsia="Times New Roman" w:hAnsi="Arial" w:cs="Arial"/>
                <w:b/>
                <w:bCs/>
                <w:color w:val="auto"/>
                <w:szCs w:val="22"/>
                <w:lang w:val="en-US" w:eastAsia="es-ES"/>
              </w:rPr>
              <w:t>d.d.</w:t>
            </w:r>
          </w:p>
        </w:tc>
        <w:tc>
          <w:tcPr>
            <w:tcW w:w="2369" w:type="dxa"/>
            <w:vAlign w:val="center"/>
          </w:tcPr>
          <w:p w14:paraId="22BB6E1E" w14:textId="60BBECC8" w:rsidR="00F9226A" w:rsidRPr="005573B3" w:rsidRDefault="00F9226A" w:rsidP="00D0081F">
            <w:pPr>
              <w:pStyle w:val="DatosTabla"/>
              <w:rPr>
                <w:rFonts w:ascii="Arial" w:eastAsia="Times New Roman" w:hAnsi="Arial" w:cs="Arial"/>
                <w:color w:val="000000"/>
                <w:szCs w:val="22"/>
                <w:lang w:val="es-ES" w:eastAsia="es-ES"/>
              </w:rPr>
            </w:pPr>
            <w:r>
              <w:rPr>
                <w:rFonts w:ascii="Arial" w:eastAsia="Times New Roman" w:hAnsi="Arial" w:cs="Arial"/>
                <w:color w:val="000000"/>
                <w:szCs w:val="22"/>
                <w:lang w:val="es-ES" w:eastAsia="es-ES"/>
              </w:rPr>
              <w:t>Karlovac</w:t>
            </w:r>
          </w:p>
        </w:tc>
      </w:tr>
      <w:tr w:rsidR="00F9226A" w14:paraId="6A960A0D" w14:textId="77777777" w:rsidTr="009D7770">
        <w:trPr>
          <w:trHeight w:val="310"/>
        </w:trPr>
        <w:tc>
          <w:tcPr>
            <w:tcW w:w="2891" w:type="dxa"/>
            <w:shd w:val="clear" w:color="auto" w:fill="F9D2D0" w:themeFill="accent1" w:themeFillTint="33"/>
            <w:vAlign w:val="center"/>
          </w:tcPr>
          <w:p w14:paraId="35B855F4" w14:textId="416DC99E" w:rsidR="00F9226A" w:rsidRPr="00BF334D" w:rsidRDefault="00F9226A" w:rsidP="00D0081F">
            <w:pPr>
              <w:pStyle w:val="DatosTabla"/>
              <w:rPr>
                <w:rFonts w:ascii="Arial" w:eastAsia="Times New Roman" w:hAnsi="Arial" w:cs="Arial"/>
                <w:b/>
                <w:bCs/>
                <w:color w:val="auto"/>
                <w:szCs w:val="22"/>
                <w:lang w:val="es-ES" w:eastAsia="es-ES"/>
              </w:rPr>
            </w:pPr>
            <w:r w:rsidRPr="00BF334D">
              <w:rPr>
                <w:rFonts w:ascii="Arial" w:eastAsia="Times New Roman" w:hAnsi="Arial" w:cs="Arial"/>
                <w:b/>
                <w:bCs/>
                <w:color w:val="auto"/>
                <w:szCs w:val="22"/>
                <w:lang w:val="es-ES" w:eastAsia="es-ES"/>
              </w:rPr>
              <w:t xml:space="preserve">KOMUNALIJE d.o.o. </w:t>
            </w:r>
          </w:p>
        </w:tc>
        <w:tc>
          <w:tcPr>
            <w:tcW w:w="2096" w:type="dxa"/>
            <w:vAlign w:val="center"/>
          </w:tcPr>
          <w:p w14:paraId="7BC638AB" w14:textId="2BDC7C21" w:rsidR="00F9226A" w:rsidRPr="005573B3" w:rsidRDefault="00F9226A" w:rsidP="00D0081F">
            <w:pPr>
              <w:pStyle w:val="DatosTabla"/>
              <w:rPr>
                <w:rFonts w:ascii="Arial" w:eastAsia="Times New Roman" w:hAnsi="Arial" w:cs="Arial"/>
                <w:color w:val="000000"/>
                <w:szCs w:val="22"/>
                <w:lang w:val="es-ES" w:eastAsia="es-ES"/>
              </w:rPr>
            </w:pPr>
            <w:r w:rsidRPr="00352B42">
              <w:rPr>
                <w:rFonts w:ascii="Arial" w:eastAsia="Times New Roman" w:hAnsi="Arial" w:cs="Arial"/>
                <w:color w:val="000000"/>
                <w:szCs w:val="22"/>
                <w:lang w:val="es-ES" w:eastAsia="es-ES"/>
              </w:rPr>
              <w:t>Đurđevac</w:t>
            </w:r>
          </w:p>
        </w:tc>
        <w:tc>
          <w:tcPr>
            <w:tcW w:w="2346" w:type="dxa"/>
            <w:shd w:val="clear" w:color="auto" w:fill="F9D2D0" w:themeFill="accent1" w:themeFillTint="33"/>
            <w:vAlign w:val="center"/>
          </w:tcPr>
          <w:p w14:paraId="7E78FFD0" w14:textId="24779A7C" w:rsidR="00F9226A" w:rsidRPr="00BF334D" w:rsidRDefault="00F9226A" w:rsidP="00D0081F">
            <w:pPr>
              <w:pStyle w:val="DatosTabla"/>
              <w:rPr>
                <w:rFonts w:ascii="Arial" w:eastAsia="Times New Roman" w:hAnsi="Arial" w:cs="Arial"/>
                <w:b/>
                <w:bCs/>
                <w:color w:val="auto"/>
                <w:szCs w:val="22"/>
                <w:lang w:val="en-US" w:eastAsia="es-ES"/>
              </w:rPr>
            </w:pPr>
            <w:r w:rsidRPr="00BF334D">
              <w:rPr>
                <w:rFonts w:ascii="Arial" w:eastAsia="Times New Roman" w:hAnsi="Arial" w:cs="Arial"/>
                <w:b/>
                <w:bCs/>
                <w:color w:val="auto"/>
                <w:szCs w:val="22"/>
                <w:lang w:val="en-US" w:eastAsia="es-ES"/>
              </w:rPr>
              <w:t>VODOPRIVREDA SPLIT d.d.</w:t>
            </w:r>
          </w:p>
        </w:tc>
        <w:tc>
          <w:tcPr>
            <w:tcW w:w="2369" w:type="dxa"/>
            <w:vAlign w:val="center"/>
          </w:tcPr>
          <w:p w14:paraId="02FACCF8" w14:textId="1B6E5B1E" w:rsidR="00F9226A" w:rsidRPr="005573B3" w:rsidRDefault="00F9226A" w:rsidP="00D0081F">
            <w:pPr>
              <w:pStyle w:val="DatosTabla"/>
              <w:rPr>
                <w:rFonts w:ascii="Arial" w:eastAsia="Times New Roman" w:hAnsi="Arial" w:cs="Arial"/>
                <w:color w:val="000000"/>
                <w:szCs w:val="22"/>
                <w:lang w:val="es-ES" w:eastAsia="es-ES"/>
              </w:rPr>
            </w:pPr>
            <w:r>
              <w:rPr>
                <w:rFonts w:ascii="Arial" w:eastAsia="Times New Roman" w:hAnsi="Arial" w:cs="Arial"/>
                <w:color w:val="000000"/>
                <w:szCs w:val="22"/>
                <w:lang w:val="es-ES" w:eastAsia="es-ES"/>
              </w:rPr>
              <w:t>Solin</w:t>
            </w:r>
          </w:p>
        </w:tc>
      </w:tr>
      <w:tr w:rsidR="00F9226A" w14:paraId="194BDB6D" w14:textId="77777777" w:rsidTr="009D7770">
        <w:trPr>
          <w:trHeight w:val="310"/>
        </w:trPr>
        <w:tc>
          <w:tcPr>
            <w:tcW w:w="2891" w:type="dxa"/>
            <w:shd w:val="clear" w:color="auto" w:fill="F9D2D0" w:themeFill="accent1" w:themeFillTint="33"/>
            <w:vAlign w:val="center"/>
          </w:tcPr>
          <w:p w14:paraId="235269B2" w14:textId="016681EB" w:rsidR="00F9226A" w:rsidRPr="00BF334D" w:rsidRDefault="00F9226A" w:rsidP="00D0081F">
            <w:pPr>
              <w:pStyle w:val="DatosTabla"/>
              <w:rPr>
                <w:rFonts w:ascii="Arial" w:eastAsia="Times New Roman" w:hAnsi="Arial" w:cs="Arial"/>
                <w:b/>
                <w:bCs/>
                <w:color w:val="auto"/>
                <w:szCs w:val="22"/>
                <w:lang w:val="es-ES" w:eastAsia="es-ES"/>
              </w:rPr>
            </w:pPr>
            <w:r w:rsidRPr="00BF334D">
              <w:rPr>
                <w:rFonts w:ascii="Arial" w:eastAsia="Times New Roman" w:hAnsi="Arial" w:cs="Arial"/>
                <w:b/>
                <w:bCs/>
                <w:color w:val="auto"/>
                <w:szCs w:val="22"/>
                <w:lang w:val="es-ES" w:eastAsia="es-ES"/>
              </w:rPr>
              <w:t>KOPRIVNIČKE VODE d.o.o.</w:t>
            </w:r>
          </w:p>
        </w:tc>
        <w:tc>
          <w:tcPr>
            <w:tcW w:w="2096" w:type="dxa"/>
            <w:vAlign w:val="center"/>
          </w:tcPr>
          <w:p w14:paraId="2BAD933A" w14:textId="5492D316" w:rsidR="00F9226A" w:rsidRPr="00352B42"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Koprivnica</w:t>
            </w:r>
          </w:p>
        </w:tc>
        <w:tc>
          <w:tcPr>
            <w:tcW w:w="2346" w:type="dxa"/>
            <w:shd w:val="clear" w:color="auto" w:fill="F9D2D0" w:themeFill="accent1" w:themeFillTint="33"/>
            <w:vAlign w:val="center"/>
          </w:tcPr>
          <w:p w14:paraId="3CF5EF70" w14:textId="73AA6018" w:rsidR="00F9226A" w:rsidRPr="00BF334D" w:rsidRDefault="00F9226A" w:rsidP="00D0081F">
            <w:pPr>
              <w:pStyle w:val="DatosTabla"/>
              <w:rPr>
                <w:rFonts w:ascii="Arial" w:eastAsia="Times New Roman" w:hAnsi="Arial" w:cs="Arial"/>
                <w:b/>
                <w:bCs/>
                <w:color w:val="auto"/>
                <w:szCs w:val="22"/>
                <w:lang w:val="en-US" w:eastAsia="es-ES"/>
              </w:rPr>
            </w:pPr>
            <w:r w:rsidRPr="00BF334D">
              <w:rPr>
                <w:rFonts w:ascii="Arial" w:eastAsia="Times New Roman" w:hAnsi="Arial" w:cs="Arial"/>
                <w:b/>
                <w:bCs/>
                <w:color w:val="auto"/>
                <w:szCs w:val="22"/>
                <w:lang w:val="en-US" w:eastAsia="es-ES"/>
              </w:rPr>
              <w:t>VODOOPSKRBA I ODVODNJA d.o.o.</w:t>
            </w:r>
          </w:p>
        </w:tc>
        <w:tc>
          <w:tcPr>
            <w:tcW w:w="2369" w:type="dxa"/>
            <w:vAlign w:val="center"/>
          </w:tcPr>
          <w:p w14:paraId="41EF6D96" w14:textId="6A355C85"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Zagreb</w:t>
            </w:r>
          </w:p>
        </w:tc>
      </w:tr>
      <w:tr w:rsidR="00F9226A" w14:paraId="0D1CE6FD" w14:textId="77777777" w:rsidTr="009D7770">
        <w:trPr>
          <w:trHeight w:val="310"/>
        </w:trPr>
        <w:tc>
          <w:tcPr>
            <w:tcW w:w="2891" w:type="dxa"/>
            <w:shd w:val="clear" w:color="auto" w:fill="F9D2D0" w:themeFill="accent1" w:themeFillTint="33"/>
            <w:vAlign w:val="center"/>
          </w:tcPr>
          <w:p w14:paraId="190C8B44" w14:textId="1FB8CE1C" w:rsidR="00F9226A" w:rsidRPr="00BF334D" w:rsidRDefault="00F9226A" w:rsidP="00D0081F">
            <w:pPr>
              <w:pStyle w:val="DatosTabla"/>
              <w:rPr>
                <w:rFonts w:ascii="Arial" w:eastAsia="Times New Roman" w:hAnsi="Arial" w:cs="Arial"/>
                <w:b/>
                <w:bCs/>
                <w:color w:val="auto"/>
                <w:szCs w:val="22"/>
                <w:lang w:val="es-ES" w:eastAsia="es-ES"/>
              </w:rPr>
            </w:pPr>
            <w:r w:rsidRPr="00BF334D">
              <w:rPr>
                <w:rFonts w:ascii="Arial" w:eastAsia="Times New Roman" w:hAnsi="Arial" w:cs="Arial"/>
                <w:b/>
                <w:bCs/>
                <w:color w:val="auto"/>
                <w:szCs w:val="22"/>
                <w:lang w:val="es-ES" w:eastAsia="es-ES"/>
              </w:rPr>
              <w:t>KD VODOVOD I KANALIZACIJA d.o.o.</w:t>
            </w:r>
          </w:p>
        </w:tc>
        <w:tc>
          <w:tcPr>
            <w:tcW w:w="2096" w:type="dxa"/>
            <w:vAlign w:val="center"/>
          </w:tcPr>
          <w:p w14:paraId="11476175" w14:textId="0FC7C252"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Rijeka</w:t>
            </w:r>
          </w:p>
        </w:tc>
        <w:tc>
          <w:tcPr>
            <w:tcW w:w="2346" w:type="dxa"/>
            <w:shd w:val="clear" w:color="auto" w:fill="F9D2D0" w:themeFill="accent1" w:themeFillTint="33"/>
            <w:vAlign w:val="center"/>
          </w:tcPr>
          <w:p w14:paraId="7A72905B" w14:textId="1C2B586C" w:rsidR="00F9226A" w:rsidRPr="00F9226A" w:rsidRDefault="00F9226A" w:rsidP="00D0081F">
            <w:pPr>
              <w:pStyle w:val="DatosTabla"/>
              <w:rPr>
                <w:rFonts w:ascii="Arial" w:eastAsia="Times New Roman" w:hAnsi="Arial" w:cs="Arial"/>
                <w:b/>
                <w:bCs/>
                <w:color w:val="auto"/>
                <w:szCs w:val="22"/>
                <w:lang w:val="en-US" w:eastAsia="es-ES"/>
              </w:rPr>
            </w:pPr>
            <w:r w:rsidRPr="00BF334D">
              <w:rPr>
                <w:rFonts w:ascii="Arial" w:eastAsia="Times New Roman" w:hAnsi="Arial" w:cs="Arial"/>
                <w:b/>
                <w:bCs/>
                <w:color w:val="auto"/>
                <w:szCs w:val="22"/>
                <w:lang w:val="es-ES" w:eastAsia="es-ES"/>
              </w:rPr>
              <w:t>VODOOPSKRBA I ODVODNJA CRES LOŠINJ d.o.o.</w:t>
            </w:r>
          </w:p>
        </w:tc>
        <w:tc>
          <w:tcPr>
            <w:tcW w:w="2369" w:type="dxa"/>
            <w:vAlign w:val="center"/>
          </w:tcPr>
          <w:p w14:paraId="1818DE82" w14:textId="45EBF59C"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Cres</w:t>
            </w:r>
          </w:p>
        </w:tc>
      </w:tr>
      <w:tr w:rsidR="00F9226A" w14:paraId="7510D4D1" w14:textId="77777777" w:rsidTr="009D7770">
        <w:trPr>
          <w:trHeight w:val="310"/>
        </w:trPr>
        <w:tc>
          <w:tcPr>
            <w:tcW w:w="2891" w:type="dxa"/>
            <w:shd w:val="clear" w:color="auto" w:fill="F9D2D0" w:themeFill="accent1" w:themeFillTint="33"/>
            <w:vAlign w:val="center"/>
          </w:tcPr>
          <w:p w14:paraId="28D62F82" w14:textId="7D767577" w:rsidR="00F9226A" w:rsidRPr="00BF334D" w:rsidRDefault="00F9226A" w:rsidP="00D0081F">
            <w:pPr>
              <w:pStyle w:val="DatosTabla"/>
              <w:rPr>
                <w:rFonts w:ascii="Arial" w:eastAsia="Times New Roman" w:hAnsi="Arial" w:cs="Arial"/>
                <w:b/>
                <w:bCs/>
                <w:color w:val="auto"/>
                <w:szCs w:val="22"/>
                <w:lang w:eastAsia="es-ES"/>
              </w:rPr>
            </w:pPr>
            <w:r w:rsidRPr="00BF334D">
              <w:rPr>
                <w:rFonts w:ascii="Arial" w:eastAsia="Times New Roman" w:hAnsi="Arial" w:cs="Arial"/>
                <w:b/>
                <w:bCs/>
                <w:color w:val="auto"/>
                <w:szCs w:val="22"/>
                <w:lang w:eastAsia="es-ES"/>
              </w:rPr>
              <w:t>KRAKOM-VODOOPSKRBA I ODVODNJA d.o.o.</w:t>
            </w:r>
          </w:p>
        </w:tc>
        <w:tc>
          <w:tcPr>
            <w:tcW w:w="2096" w:type="dxa"/>
            <w:vAlign w:val="center"/>
          </w:tcPr>
          <w:p w14:paraId="3BE95F86" w14:textId="4485407B"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Krapina</w:t>
            </w:r>
          </w:p>
        </w:tc>
        <w:tc>
          <w:tcPr>
            <w:tcW w:w="2346" w:type="dxa"/>
            <w:shd w:val="clear" w:color="auto" w:fill="F9D2D0" w:themeFill="accent1" w:themeFillTint="33"/>
            <w:vAlign w:val="center"/>
          </w:tcPr>
          <w:p w14:paraId="03027498" w14:textId="083A3B5D" w:rsidR="00F9226A" w:rsidRPr="00BF334D" w:rsidRDefault="00F9226A" w:rsidP="00D0081F">
            <w:pPr>
              <w:pStyle w:val="DatosTabla"/>
              <w:rPr>
                <w:rFonts w:ascii="Arial" w:eastAsia="Times New Roman" w:hAnsi="Arial" w:cs="Arial"/>
                <w:b/>
                <w:bCs/>
                <w:color w:val="auto"/>
                <w:szCs w:val="22"/>
                <w:lang w:val="es-ES" w:eastAsia="es-ES"/>
              </w:rPr>
            </w:pPr>
            <w:r w:rsidRPr="00FF6AF7">
              <w:rPr>
                <w:rFonts w:ascii="Arial" w:eastAsia="Times New Roman" w:hAnsi="Arial" w:cs="Arial"/>
                <w:b/>
                <w:bCs/>
                <w:color w:val="auto"/>
                <w:szCs w:val="22"/>
                <w:lang w:val="en-US" w:eastAsia="es-ES"/>
              </w:rPr>
              <w:t>VODOVOD d.o.o.</w:t>
            </w:r>
          </w:p>
        </w:tc>
        <w:tc>
          <w:tcPr>
            <w:tcW w:w="2369" w:type="dxa"/>
            <w:vAlign w:val="center"/>
          </w:tcPr>
          <w:p w14:paraId="103FA7B0" w14:textId="3D042285" w:rsidR="00F9226A" w:rsidRPr="005573B3" w:rsidRDefault="00F9226A" w:rsidP="00D0081F">
            <w:pPr>
              <w:pStyle w:val="DatosTabla"/>
              <w:rPr>
                <w:rFonts w:ascii="Arial" w:eastAsia="Times New Roman" w:hAnsi="Arial" w:cs="Arial"/>
                <w:color w:val="000000"/>
                <w:szCs w:val="22"/>
                <w:lang w:val="es-ES" w:eastAsia="es-ES"/>
              </w:rPr>
            </w:pPr>
            <w:r>
              <w:rPr>
                <w:rFonts w:ascii="Arial" w:eastAsia="Times New Roman" w:hAnsi="Arial" w:cs="Arial"/>
                <w:color w:val="000000"/>
                <w:szCs w:val="22"/>
                <w:lang w:val="es-ES" w:eastAsia="es-ES"/>
              </w:rPr>
              <w:t>Zadar</w:t>
            </w:r>
          </w:p>
        </w:tc>
      </w:tr>
      <w:tr w:rsidR="00F9226A" w14:paraId="08C1CF5B" w14:textId="77777777" w:rsidTr="009D7770">
        <w:trPr>
          <w:trHeight w:val="310"/>
        </w:trPr>
        <w:tc>
          <w:tcPr>
            <w:tcW w:w="2891" w:type="dxa"/>
            <w:shd w:val="clear" w:color="auto" w:fill="F9D2D0" w:themeFill="accent1" w:themeFillTint="33"/>
            <w:vAlign w:val="center"/>
          </w:tcPr>
          <w:p w14:paraId="1716DAC5" w14:textId="32E6D773" w:rsidR="00F9226A" w:rsidRPr="00BF334D" w:rsidRDefault="00F9226A" w:rsidP="00D0081F">
            <w:pPr>
              <w:pStyle w:val="DatosTabla"/>
              <w:rPr>
                <w:rFonts w:ascii="Arial" w:eastAsia="Times New Roman" w:hAnsi="Arial" w:cs="Arial"/>
                <w:b/>
                <w:bCs/>
                <w:color w:val="auto"/>
                <w:szCs w:val="22"/>
                <w:lang w:val="en-US" w:eastAsia="es-ES"/>
              </w:rPr>
            </w:pPr>
            <w:r w:rsidRPr="00321890">
              <w:rPr>
                <w:rFonts w:ascii="Arial" w:eastAsia="Times New Roman" w:hAnsi="Arial" w:cs="Arial"/>
                <w:b/>
                <w:bCs/>
                <w:color w:val="auto"/>
                <w:szCs w:val="22"/>
                <w:lang w:val="en-US" w:eastAsia="es-ES"/>
              </w:rPr>
              <w:t>LE-GRAD</w:t>
            </w:r>
            <w:r>
              <w:rPr>
                <w:rFonts w:ascii="Arial" w:eastAsia="Times New Roman" w:hAnsi="Arial" w:cs="Arial"/>
                <w:b/>
                <w:bCs/>
                <w:color w:val="auto"/>
                <w:szCs w:val="22"/>
                <w:lang w:val="en-US" w:eastAsia="es-ES"/>
              </w:rPr>
              <w:t xml:space="preserve"> d.o.o.</w:t>
            </w:r>
          </w:p>
        </w:tc>
        <w:tc>
          <w:tcPr>
            <w:tcW w:w="2096" w:type="dxa"/>
            <w:vAlign w:val="center"/>
          </w:tcPr>
          <w:p w14:paraId="62D3845E" w14:textId="41F24349" w:rsidR="00F9226A" w:rsidRPr="00C76F59" w:rsidRDefault="00F9226A" w:rsidP="00D0081F">
            <w:pPr>
              <w:pStyle w:val="DatosTabla"/>
              <w:rPr>
                <w:rFonts w:ascii="Arial" w:eastAsia="Times New Roman" w:hAnsi="Arial" w:cs="Arial"/>
                <w:color w:val="000000"/>
                <w:szCs w:val="22"/>
                <w:lang w:val="es-ES" w:eastAsia="es-ES"/>
              </w:rPr>
            </w:pPr>
            <w:r w:rsidRPr="00321890">
              <w:rPr>
                <w:rFonts w:ascii="Arial" w:eastAsia="Times New Roman" w:hAnsi="Arial" w:cs="Arial"/>
                <w:color w:val="000000"/>
                <w:szCs w:val="22"/>
                <w:lang w:val="es-ES" w:eastAsia="es-ES"/>
              </w:rPr>
              <w:t>Graberje Ivanićko</w:t>
            </w:r>
          </w:p>
        </w:tc>
        <w:tc>
          <w:tcPr>
            <w:tcW w:w="2346" w:type="dxa"/>
            <w:shd w:val="clear" w:color="auto" w:fill="F9D2D0" w:themeFill="accent1" w:themeFillTint="33"/>
            <w:vAlign w:val="center"/>
          </w:tcPr>
          <w:p w14:paraId="6789EAF4" w14:textId="62AD29F2" w:rsidR="00F9226A" w:rsidRDefault="00F9226A" w:rsidP="00D0081F">
            <w:pPr>
              <w:pStyle w:val="DatosTabla"/>
              <w:rPr>
                <w:rFonts w:ascii="Arial" w:eastAsia="Times New Roman" w:hAnsi="Arial" w:cs="Arial"/>
                <w:b/>
                <w:bCs/>
                <w:color w:val="auto"/>
                <w:szCs w:val="22"/>
                <w:lang w:val="es-ES" w:eastAsia="es-ES"/>
              </w:rPr>
            </w:pPr>
            <w:r>
              <w:rPr>
                <w:rFonts w:ascii="Arial" w:eastAsia="Times New Roman" w:hAnsi="Arial" w:cs="Arial"/>
                <w:b/>
                <w:bCs/>
                <w:color w:val="auto"/>
                <w:szCs w:val="22"/>
                <w:lang w:val="es-ES" w:eastAsia="es-ES"/>
              </w:rPr>
              <w:t>VODOVOD DUBROVNIK d.o.o.</w:t>
            </w:r>
          </w:p>
        </w:tc>
        <w:tc>
          <w:tcPr>
            <w:tcW w:w="2369" w:type="dxa"/>
            <w:vAlign w:val="center"/>
          </w:tcPr>
          <w:p w14:paraId="3107868E" w14:textId="282F1CC1" w:rsidR="00F9226A" w:rsidRDefault="00F9226A" w:rsidP="00D0081F">
            <w:pPr>
              <w:pStyle w:val="DatosTabla"/>
              <w:rPr>
                <w:rFonts w:ascii="Arial" w:eastAsia="Times New Roman" w:hAnsi="Arial" w:cs="Arial"/>
                <w:color w:val="000000"/>
                <w:szCs w:val="22"/>
                <w:lang w:val="es-ES" w:eastAsia="es-ES"/>
              </w:rPr>
            </w:pPr>
            <w:r>
              <w:rPr>
                <w:rFonts w:ascii="Arial" w:eastAsia="Times New Roman" w:hAnsi="Arial" w:cs="Arial"/>
                <w:color w:val="000000"/>
                <w:szCs w:val="22"/>
                <w:lang w:val="es-ES" w:eastAsia="es-ES"/>
              </w:rPr>
              <w:t>Dubrovnik</w:t>
            </w:r>
          </w:p>
        </w:tc>
      </w:tr>
      <w:tr w:rsidR="00F9226A" w14:paraId="62108071" w14:textId="77777777" w:rsidTr="009D7770">
        <w:trPr>
          <w:trHeight w:val="310"/>
        </w:trPr>
        <w:tc>
          <w:tcPr>
            <w:tcW w:w="2891" w:type="dxa"/>
            <w:shd w:val="clear" w:color="auto" w:fill="F9D2D0" w:themeFill="accent1" w:themeFillTint="33"/>
            <w:vAlign w:val="center"/>
          </w:tcPr>
          <w:p w14:paraId="21C14A84" w14:textId="4707780A" w:rsidR="00F9226A" w:rsidRPr="00FF6AF7" w:rsidRDefault="00F9226A" w:rsidP="00D0081F">
            <w:pPr>
              <w:pStyle w:val="DatosTabla"/>
              <w:rPr>
                <w:rFonts w:ascii="Arial" w:eastAsia="Times New Roman" w:hAnsi="Arial" w:cs="Arial"/>
                <w:b/>
                <w:bCs/>
                <w:color w:val="auto"/>
                <w:szCs w:val="22"/>
                <w:lang w:val="en-US" w:eastAsia="es-ES"/>
              </w:rPr>
            </w:pPr>
            <w:r w:rsidRPr="00BF334D">
              <w:rPr>
                <w:rFonts w:ascii="Arial" w:eastAsia="Times New Roman" w:hAnsi="Arial" w:cs="Arial"/>
                <w:b/>
                <w:bCs/>
                <w:color w:val="auto"/>
                <w:szCs w:val="22"/>
                <w:lang w:val="en-US" w:eastAsia="es-ES"/>
              </w:rPr>
              <w:t>LIBURNIJSKE VODE d.o.o.</w:t>
            </w:r>
          </w:p>
        </w:tc>
        <w:tc>
          <w:tcPr>
            <w:tcW w:w="2096" w:type="dxa"/>
            <w:vAlign w:val="center"/>
          </w:tcPr>
          <w:p w14:paraId="0F5475B5" w14:textId="0494EACF" w:rsidR="00F9226A" w:rsidRPr="005573B3" w:rsidRDefault="00F9226A" w:rsidP="00D0081F">
            <w:pPr>
              <w:pStyle w:val="DatosTabla"/>
              <w:rPr>
                <w:rFonts w:ascii="Arial" w:eastAsia="Times New Roman" w:hAnsi="Arial" w:cs="Arial"/>
                <w:color w:val="auto"/>
                <w:szCs w:val="22"/>
                <w:lang w:val="es-ES" w:eastAsia="es-ES"/>
              </w:rPr>
            </w:pPr>
            <w:r w:rsidRPr="00C76F59">
              <w:rPr>
                <w:rFonts w:ascii="Arial" w:eastAsia="Times New Roman" w:hAnsi="Arial" w:cs="Arial"/>
                <w:color w:val="000000"/>
                <w:szCs w:val="22"/>
                <w:lang w:val="es-ES" w:eastAsia="es-ES"/>
              </w:rPr>
              <w:t>Ičići</w:t>
            </w:r>
          </w:p>
        </w:tc>
        <w:tc>
          <w:tcPr>
            <w:tcW w:w="2346" w:type="dxa"/>
            <w:shd w:val="clear" w:color="auto" w:fill="F9D2D0" w:themeFill="accent1" w:themeFillTint="33"/>
            <w:vAlign w:val="center"/>
          </w:tcPr>
          <w:p w14:paraId="36346CBB" w14:textId="326EEAE9" w:rsidR="00F9226A" w:rsidRPr="00BF334D" w:rsidRDefault="00F9226A" w:rsidP="00D0081F">
            <w:pPr>
              <w:pStyle w:val="DatosTabla"/>
              <w:rPr>
                <w:rFonts w:ascii="Arial" w:eastAsia="Times New Roman" w:hAnsi="Arial" w:cs="Arial"/>
                <w:b/>
                <w:bCs/>
                <w:color w:val="auto"/>
                <w:szCs w:val="22"/>
                <w:lang w:val="es-ES" w:eastAsia="es-ES"/>
              </w:rPr>
            </w:pPr>
            <w:r w:rsidRPr="001B77D5">
              <w:rPr>
                <w:rFonts w:ascii="Arial" w:eastAsia="Times New Roman" w:hAnsi="Arial" w:cs="Arial"/>
                <w:b/>
                <w:bCs/>
                <w:color w:val="auto"/>
                <w:szCs w:val="22"/>
                <w:lang w:val="es-ES" w:eastAsia="es-ES"/>
              </w:rPr>
              <w:t xml:space="preserve">VODOVOD KORENICA </w:t>
            </w:r>
            <w:r>
              <w:rPr>
                <w:rFonts w:ascii="Arial" w:eastAsia="Times New Roman" w:hAnsi="Arial" w:cs="Arial"/>
                <w:b/>
                <w:bCs/>
                <w:color w:val="auto"/>
                <w:szCs w:val="22"/>
                <w:lang w:val="es-ES" w:eastAsia="es-ES"/>
              </w:rPr>
              <w:t>d.o.o.</w:t>
            </w:r>
          </w:p>
        </w:tc>
        <w:tc>
          <w:tcPr>
            <w:tcW w:w="2369" w:type="dxa"/>
            <w:vAlign w:val="center"/>
          </w:tcPr>
          <w:p w14:paraId="143C22D2" w14:textId="6436BB78" w:rsidR="00F9226A" w:rsidRPr="005573B3" w:rsidRDefault="00F9226A" w:rsidP="00D0081F">
            <w:pPr>
              <w:pStyle w:val="DatosTabla"/>
              <w:rPr>
                <w:rFonts w:ascii="Arial" w:eastAsia="Times New Roman" w:hAnsi="Arial" w:cs="Arial"/>
                <w:color w:val="000000"/>
                <w:szCs w:val="22"/>
                <w:lang w:val="es-ES" w:eastAsia="es-ES"/>
              </w:rPr>
            </w:pPr>
            <w:r>
              <w:rPr>
                <w:rFonts w:ascii="Arial" w:eastAsia="Times New Roman" w:hAnsi="Arial" w:cs="Arial"/>
                <w:color w:val="000000"/>
                <w:szCs w:val="22"/>
                <w:lang w:val="es-ES" w:eastAsia="es-ES"/>
              </w:rPr>
              <w:t>Korenica</w:t>
            </w:r>
          </w:p>
        </w:tc>
      </w:tr>
      <w:tr w:rsidR="00F9226A" w14:paraId="63BF2D19" w14:textId="77777777" w:rsidTr="009D7770">
        <w:trPr>
          <w:trHeight w:val="310"/>
        </w:trPr>
        <w:tc>
          <w:tcPr>
            <w:tcW w:w="2891" w:type="dxa"/>
            <w:shd w:val="clear" w:color="auto" w:fill="F9D2D0" w:themeFill="accent1" w:themeFillTint="33"/>
            <w:vAlign w:val="center"/>
          </w:tcPr>
          <w:p w14:paraId="2E1C6B0F" w14:textId="6000AC23" w:rsidR="00F9226A" w:rsidRPr="00FF6AF7" w:rsidRDefault="00F9226A" w:rsidP="00D0081F">
            <w:pPr>
              <w:pStyle w:val="DatosTabla"/>
              <w:rPr>
                <w:rFonts w:ascii="Arial" w:eastAsia="Times New Roman" w:hAnsi="Arial" w:cs="Arial"/>
                <w:b/>
                <w:bCs/>
                <w:color w:val="auto"/>
                <w:szCs w:val="22"/>
                <w:lang w:eastAsia="es-ES"/>
              </w:rPr>
            </w:pPr>
            <w:r w:rsidRPr="00BF334D">
              <w:rPr>
                <w:rFonts w:ascii="Arial" w:eastAsia="Times New Roman" w:hAnsi="Arial" w:cs="Arial"/>
                <w:b/>
                <w:bCs/>
                <w:color w:val="auto"/>
                <w:szCs w:val="22"/>
                <w:lang w:val="es-ES" w:eastAsia="es-ES"/>
              </w:rPr>
              <w:t>MEĐIMURSKE VODE d.o.o.</w:t>
            </w:r>
          </w:p>
        </w:tc>
        <w:tc>
          <w:tcPr>
            <w:tcW w:w="2096" w:type="dxa"/>
            <w:vAlign w:val="center"/>
          </w:tcPr>
          <w:p w14:paraId="1343E988" w14:textId="14D8A99D"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Čakovec</w:t>
            </w:r>
          </w:p>
        </w:tc>
        <w:tc>
          <w:tcPr>
            <w:tcW w:w="2346" w:type="dxa"/>
            <w:shd w:val="clear" w:color="auto" w:fill="F9D2D0" w:themeFill="accent1" w:themeFillTint="33"/>
            <w:vAlign w:val="center"/>
          </w:tcPr>
          <w:p w14:paraId="2F62BA08" w14:textId="22C2C7BB" w:rsidR="00F9226A" w:rsidRPr="00BF334D" w:rsidRDefault="00F9226A" w:rsidP="00D0081F">
            <w:pPr>
              <w:pStyle w:val="DatosTabla"/>
              <w:rPr>
                <w:rFonts w:ascii="Arial" w:eastAsia="Times New Roman" w:hAnsi="Arial" w:cs="Arial"/>
                <w:b/>
                <w:bCs/>
                <w:color w:val="auto"/>
                <w:szCs w:val="22"/>
                <w:lang w:val="es-ES" w:eastAsia="es-ES"/>
              </w:rPr>
            </w:pPr>
            <w:r w:rsidRPr="00BF334D">
              <w:rPr>
                <w:rFonts w:ascii="Arial" w:eastAsia="Times New Roman" w:hAnsi="Arial" w:cs="Arial"/>
                <w:b/>
                <w:bCs/>
                <w:color w:val="auto"/>
                <w:szCs w:val="22"/>
                <w:lang w:val="es-ES" w:eastAsia="es-ES"/>
              </w:rPr>
              <w:t xml:space="preserve">VODOVOD-OSIJEK d.o.o. </w:t>
            </w:r>
          </w:p>
        </w:tc>
        <w:tc>
          <w:tcPr>
            <w:tcW w:w="2369" w:type="dxa"/>
            <w:vAlign w:val="center"/>
          </w:tcPr>
          <w:p w14:paraId="7987A483" w14:textId="2575224F"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Osijek</w:t>
            </w:r>
          </w:p>
        </w:tc>
      </w:tr>
      <w:tr w:rsidR="00F9226A" w14:paraId="74293C1A" w14:textId="77777777" w:rsidTr="009D7770">
        <w:trPr>
          <w:trHeight w:val="310"/>
        </w:trPr>
        <w:tc>
          <w:tcPr>
            <w:tcW w:w="2891" w:type="dxa"/>
            <w:shd w:val="clear" w:color="auto" w:fill="F9D2D0" w:themeFill="accent1" w:themeFillTint="33"/>
            <w:vAlign w:val="center"/>
          </w:tcPr>
          <w:p w14:paraId="38320D7F" w14:textId="56EF98EB" w:rsidR="00F9226A" w:rsidRPr="001B77D5" w:rsidRDefault="00F9226A" w:rsidP="00D0081F">
            <w:pPr>
              <w:pStyle w:val="DatosTabla"/>
              <w:rPr>
                <w:rFonts w:ascii="Arial" w:eastAsia="Times New Roman" w:hAnsi="Arial" w:cs="Arial"/>
                <w:b/>
                <w:bCs/>
                <w:color w:val="auto"/>
                <w:szCs w:val="22"/>
                <w:lang w:eastAsia="es-ES"/>
              </w:rPr>
            </w:pPr>
            <w:r w:rsidRPr="00BF334D">
              <w:rPr>
                <w:rFonts w:ascii="Arial" w:eastAsia="Times New Roman" w:hAnsi="Arial" w:cs="Arial"/>
                <w:b/>
                <w:bCs/>
                <w:color w:val="auto"/>
                <w:szCs w:val="22"/>
                <w:lang w:val="es-ES" w:eastAsia="es-ES"/>
              </w:rPr>
              <w:t>MOSLAVINA d.o.o.</w:t>
            </w:r>
          </w:p>
        </w:tc>
        <w:tc>
          <w:tcPr>
            <w:tcW w:w="2096" w:type="dxa"/>
            <w:vAlign w:val="center"/>
          </w:tcPr>
          <w:p w14:paraId="733C8CD0" w14:textId="40CA41A5"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Kutina</w:t>
            </w:r>
          </w:p>
        </w:tc>
        <w:tc>
          <w:tcPr>
            <w:tcW w:w="2346" w:type="dxa"/>
            <w:shd w:val="clear" w:color="auto" w:fill="F9D2D0" w:themeFill="accent1" w:themeFillTint="33"/>
            <w:vAlign w:val="center"/>
          </w:tcPr>
          <w:p w14:paraId="74F2F2EF" w14:textId="19B1EE38" w:rsidR="00F9226A" w:rsidRPr="00BF334D" w:rsidRDefault="00F9226A" w:rsidP="00D0081F">
            <w:pPr>
              <w:pStyle w:val="DatosTabla"/>
              <w:rPr>
                <w:rFonts w:ascii="Arial" w:eastAsia="Times New Roman" w:hAnsi="Arial" w:cs="Arial"/>
                <w:b/>
                <w:bCs/>
                <w:color w:val="auto"/>
                <w:szCs w:val="22"/>
                <w:lang w:val="es-ES" w:eastAsia="es-ES"/>
              </w:rPr>
            </w:pPr>
            <w:r w:rsidRPr="00BF334D">
              <w:rPr>
                <w:rFonts w:ascii="Arial" w:eastAsia="Times New Roman" w:hAnsi="Arial" w:cs="Arial"/>
                <w:b/>
                <w:bCs/>
                <w:color w:val="auto"/>
                <w:szCs w:val="22"/>
                <w:lang w:val="es-ES" w:eastAsia="es-ES"/>
              </w:rPr>
              <w:t>VODOVOD PULA d.o.o.</w:t>
            </w:r>
          </w:p>
        </w:tc>
        <w:tc>
          <w:tcPr>
            <w:tcW w:w="2369" w:type="dxa"/>
            <w:vAlign w:val="center"/>
          </w:tcPr>
          <w:p w14:paraId="275E9FE8" w14:textId="5A0C92B0"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Pula</w:t>
            </w:r>
          </w:p>
        </w:tc>
      </w:tr>
      <w:tr w:rsidR="00F9226A" w14:paraId="6600F0D0" w14:textId="77777777" w:rsidTr="009D7770">
        <w:trPr>
          <w:trHeight w:val="310"/>
        </w:trPr>
        <w:tc>
          <w:tcPr>
            <w:tcW w:w="2891" w:type="dxa"/>
            <w:shd w:val="clear" w:color="auto" w:fill="F9D2D0" w:themeFill="accent1" w:themeFillTint="33"/>
            <w:vAlign w:val="center"/>
          </w:tcPr>
          <w:p w14:paraId="6CF3B3D1" w14:textId="2A451B5A" w:rsidR="00F9226A" w:rsidRPr="00BF334D" w:rsidRDefault="00F9226A" w:rsidP="00D0081F">
            <w:pPr>
              <w:pStyle w:val="DatosTabla"/>
              <w:rPr>
                <w:rFonts w:ascii="Arial" w:eastAsia="Times New Roman" w:hAnsi="Arial" w:cs="Arial"/>
                <w:b/>
                <w:bCs/>
                <w:color w:val="auto"/>
                <w:szCs w:val="22"/>
                <w:lang w:eastAsia="es-ES"/>
              </w:rPr>
            </w:pPr>
            <w:r w:rsidRPr="00BF334D">
              <w:rPr>
                <w:rFonts w:ascii="Arial" w:eastAsia="Times New Roman" w:hAnsi="Arial" w:cs="Arial"/>
                <w:b/>
                <w:bCs/>
                <w:color w:val="auto"/>
                <w:szCs w:val="22"/>
                <w:lang w:val="es-ES" w:eastAsia="es-ES"/>
              </w:rPr>
              <w:t>NAŠIČKI VODOVOD d.o.o.</w:t>
            </w:r>
          </w:p>
        </w:tc>
        <w:tc>
          <w:tcPr>
            <w:tcW w:w="2096" w:type="dxa"/>
            <w:vAlign w:val="center"/>
          </w:tcPr>
          <w:p w14:paraId="5C465B3A" w14:textId="38371F51" w:rsidR="00F9226A" w:rsidRPr="005573B3" w:rsidRDefault="00F9226A" w:rsidP="00D0081F">
            <w:pPr>
              <w:pStyle w:val="DatosTabla"/>
              <w:rPr>
                <w:rFonts w:ascii="Arial" w:eastAsia="Times New Roman" w:hAnsi="Arial" w:cs="Arial"/>
                <w:color w:val="000000"/>
                <w:szCs w:val="22"/>
                <w:lang w:val="es-ES" w:eastAsia="es-ES"/>
              </w:rPr>
            </w:pPr>
            <w:r w:rsidRPr="00352B42">
              <w:rPr>
                <w:rFonts w:ascii="Arial" w:eastAsia="Times New Roman" w:hAnsi="Arial" w:cs="Arial"/>
                <w:color w:val="000000"/>
                <w:szCs w:val="22"/>
                <w:lang w:val="es-ES" w:eastAsia="es-ES"/>
              </w:rPr>
              <w:t>Našice</w:t>
            </w:r>
          </w:p>
        </w:tc>
        <w:tc>
          <w:tcPr>
            <w:tcW w:w="2346" w:type="dxa"/>
            <w:shd w:val="clear" w:color="auto" w:fill="F9D2D0" w:themeFill="accent1" w:themeFillTint="33"/>
            <w:vAlign w:val="center"/>
          </w:tcPr>
          <w:p w14:paraId="1226951E" w14:textId="7FFD1620" w:rsidR="00F9226A" w:rsidRPr="00FF6AF7" w:rsidRDefault="00F9226A" w:rsidP="00D0081F">
            <w:pPr>
              <w:pStyle w:val="DatosTabla"/>
              <w:rPr>
                <w:rFonts w:ascii="Arial" w:eastAsia="Times New Roman" w:hAnsi="Arial" w:cs="Arial"/>
                <w:b/>
                <w:bCs/>
                <w:color w:val="auto"/>
                <w:szCs w:val="22"/>
                <w:lang w:val="es-ES" w:eastAsia="es-ES"/>
              </w:rPr>
            </w:pPr>
            <w:r w:rsidRPr="00BF334D">
              <w:rPr>
                <w:rFonts w:ascii="Arial" w:eastAsia="Times New Roman" w:hAnsi="Arial" w:cs="Arial"/>
                <w:b/>
                <w:bCs/>
                <w:color w:val="auto"/>
                <w:szCs w:val="22"/>
                <w:lang w:val="es-ES" w:eastAsia="es-ES"/>
              </w:rPr>
              <w:t>VODOVOD-VIR d.o.o.</w:t>
            </w:r>
          </w:p>
        </w:tc>
        <w:tc>
          <w:tcPr>
            <w:tcW w:w="2369" w:type="dxa"/>
            <w:vAlign w:val="center"/>
          </w:tcPr>
          <w:p w14:paraId="6D335997" w14:textId="2B46CC14"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auto"/>
                <w:szCs w:val="22"/>
                <w:lang w:val="es-ES" w:eastAsia="es-ES"/>
              </w:rPr>
              <w:t>Vir</w:t>
            </w:r>
          </w:p>
        </w:tc>
      </w:tr>
      <w:tr w:rsidR="00F9226A" w14:paraId="2C66F645" w14:textId="77777777" w:rsidTr="009D7770">
        <w:trPr>
          <w:trHeight w:val="310"/>
        </w:trPr>
        <w:tc>
          <w:tcPr>
            <w:tcW w:w="2891" w:type="dxa"/>
            <w:shd w:val="clear" w:color="auto" w:fill="F9D2D0" w:themeFill="accent1" w:themeFillTint="33"/>
            <w:vAlign w:val="center"/>
          </w:tcPr>
          <w:p w14:paraId="54371F96" w14:textId="319C5DE7" w:rsidR="00F9226A" w:rsidRPr="00BF334D" w:rsidRDefault="00F9226A" w:rsidP="00D0081F">
            <w:pPr>
              <w:pStyle w:val="DatosTabla"/>
              <w:rPr>
                <w:rFonts w:ascii="Arial" w:eastAsia="Times New Roman" w:hAnsi="Arial" w:cs="Arial"/>
                <w:b/>
                <w:bCs/>
                <w:color w:val="auto"/>
                <w:szCs w:val="22"/>
                <w:lang w:val="es-ES" w:eastAsia="es-ES"/>
              </w:rPr>
            </w:pPr>
            <w:r w:rsidRPr="00F41596">
              <w:rPr>
                <w:rFonts w:ascii="Arial" w:eastAsia="Times New Roman" w:hAnsi="Arial" w:cs="Arial"/>
                <w:b/>
                <w:bCs/>
                <w:color w:val="auto"/>
                <w:szCs w:val="22"/>
                <w:lang w:val="es-ES" w:eastAsia="es-ES"/>
              </w:rPr>
              <w:t>NIVO EKO d.o.o.</w:t>
            </w:r>
          </w:p>
        </w:tc>
        <w:tc>
          <w:tcPr>
            <w:tcW w:w="2096" w:type="dxa"/>
            <w:vAlign w:val="center"/>
          </w:tcPr>
          <w:p w14:paraId="61C3A26B" w14:textId="14A41DAE" w:rsidR="00F9226A" w:rsidRPr="00352B42" w:rsidRDefault="00F9226A" w:rsidP="00D0081F">
            <w:pPr>
              <w:pStyle w:val="DatosTabla"/>
              <w:rPr>
                <w:rFonts w:ascii="Arial" w:eastAsia="Times New Roman" w:hAnsi="Arial" w:cs="Arial"/>
                <w:color w:val="000000"/>
                <w:szCs w:val="22"/>
                <w:lang w:val="es-ES" w:eastAsia="es-ES"/>
              </w:rPr>
            </w:pPr>
            <w:r>
              <w:rPr>
                <w:rFonts w:ascii="Arial" w:eastAsia="Times New Roman" w:hAnsi="Arial" w:cs="Arial"/>
                <w:color w:val="000000"/>
                <w:szCs w:val="22"/>
                <w:lang w:val="es-ES" w:eastAsia="es-ES"/>
              </w:rPr>
              <w:t>Celje</w:t>
            </w:r>
          </w:p>
        </w:tc>
        <w:tc>
          <w:tcPr>
            <w:tcW w:w="2346" w:type="dxa"/>
            <w:shd w:val="clear" w:color="auto" w:fill="F9D2D0" w:themeFill="accent1" w:themeFillTint="33"/>
            <w:vAlign w:val="center"/>
          </w:tcPr>
          <w:p w14:paraId="293AD66A" w14:textId="560FD7E2" w:rsidR="00F9226A" w:rsidRPr="00F9226A" w:rsidRDefault="00F9226A" w:rsidP="00D0081F">
            <w:pPr>
              <w:pStyle w:val="DatosTabla"/>
              <w:rPr>
                <w:rFonts w:ascii="Arial" w:eastAsia="Times New Roman" w:hAnsi="Arial" w:cs="Arial"/>
                <w:b/>
                <w:bCs/>
                <w:color w:val="auto"/>
                <w:szCs w:val="22"/>
                <w:lang w:val="en-US" w:eastAsia="es-ES"/>
              </w:rPr>
            </w:pPr>
            <w:r w:rsidRPr="00BF334D">
              <w:rPr>
                <w:rFonts w:ascii="Arial" w:eastAsia="Times New Roman" w:hAnsi="Arial" w:cs="Arial"/>
                <w:b/>
                <w:bCs/>
                <w:color w:val="auto"/>
                <w:szCs w:val="22"/>
                <w:lang w:val="en-US" w:eastAsia="es-ES"/>
              </w:rPr>
              <w:t xml:space="preserve">VODOVOD I ODVODNJA d.o.o. </w:t>
            </w:r>
          </w:p>
        </w:tc>
        <w:tc>
          <w:tcPr>
            <w:tcW w:w="2369" w:type="dxa"/>
            <w:vAlign w:val="center"/>
          </w:tcPr>
          <w:p w14:paraId="5140576E" w14:textId="38D9D0EB"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Šibenik</w:t>
            </w:r>
          </w:p>
        </w:tc>
      </w:tr>
      <w:tr w:rsidR="00F9226A" w14:paraId="7DE76010" w14:textId="77777777" w:rsidTr="009D7770">
        <w:trPr>
          <w:trHeight w:val="310"/>
        </w:trPr>
        <w:tc>
          <w:tcPr>
            <w:tcW w:w="2891" w:type="dxa"/>
            <w:shd w:val="clear" w:color="auto" w:fill="F9D2D0" w:themeFill="accent1" w:themeFillTint="33"/>
            <w:vAlign w:val="center"/>
          </w:tcPr>
          <w:p w14:paraId="4B0793D3" w14:textId="35B9352D" w:rsidR="00F9226A" w:rsidRPr="00BF334D" w:rsidRDefault="00F9226A" w:rsidP="00D0081F">
            <w:pPr>
              <w:pStyle w:val="DatosTabla"/>
              <w:rPr>
                <w:rFonts w:ascii="Arial" w:eastAsia="Times New Roman" w:hAnsi="Arial" w:cs="Arial"/>
                <w:b/>
                <w:bCs/>
                <w:color w:val="auto"/>
                <w:szCs w:val="22"/>
                <w:lang w:val="es-ES" w:eastAsia="es-ES"/>
              </w:rPr>
            </w:pPr>
            <w:r w:rsidRPr="00BF334D">
              <w:rPr>
                <w:rFonts w:ascii="Arial" w:eastAsia="Times New Roman" w:hAnsi="Arial" w:cs="Arial"/>
                <w:b/>
                <w:bCs/>
                <w:color w:val="auto"/>
                <w:szCs w:val="22"/>
                <w:lang w:val="es-ES" w:eastAsia="es-ES"/>
              </w:rPr>
              <w:t>ODVODNJA d.o.o.</w:t>
            </w:r>
          </w:p>
        </w:tc>
        <w:tc>
          <w:tcPr>
            <w:tcW w:w="2096" w:type="dxa"/>
            <w:vAlign w:val="center"/>
          </w:tcPr>
          <w:p w14:paraId="7CBEEDF3" w14:textId="1D39D585"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Zadar</w:t>
            </w:r>
          </w:p>
        </w:tc>
        <w:tc>
          <w:tcPr>
            <w:tcW w:w="2346" w:type="dxa"/>
            <w:shd w:val="clear" w:color="auto" w:fill="F9D2D0" w:themeFill="accent1" w:themeFillTint="33"/>
            <w:vAlign w:val="center"/>
          </w:tcPr>
          <w:p w14:paraId="43BB7D7C" w14:textId="17309CB8" w:rsidR="00F9226A" w:rsidRPr="00F9226A" w:rsidRDefault="00F9226A" w:rsidP="00D0081F">
            <w:pPr>
              <w:pStyle w:val="DatosTabla"/>
              <w:rPr>
                <w:rFonts w:ascii="Arial" w:eastAsia="Times New Roman" w:hAnsi="Arial" w:cs="Arial"/>
                <w:b/>
                <w:bCs/>
                <w:color w:val="auto"/>
                <w:szCs w:val="22"/>
                <w:lang w:val="es-ES" w:eastAsia="es-ES"/>
              </w:rPr>
            </w:pPr>
            <w:r w:rsidRPr="00BF334D">
              <w:rPr>
                <w:rFonts w:ascii="Arial" w:eastAsia="Times New Roman" w:hAnsi="Arial" w:cs="Arial"/>
                <w:b/>
                <w:bCs/>
                <w:color w:val="auto"/>
                <w:szCs w:val="22"/>
                <w:lang w:val="es-ES" w:eastAsia="es-ES"/>
              </w:rPr>
              <w:t>VODOVOD I ODVODNJA CETINSKE KRAJINE d.o.o.</w:t>
            </w:r>
          </w:p>
        </w:tc>
        <w:tc>
          <w:tcPr>
            <w:tcW w:w="2369" w:type="dxa"/>
            <w:vAlign w:val="center"/>
          </w:tcPr>
          <w:p w14:paraId="0AC9E1C8" w14:textId="3EF8EE0D"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Sinj</w:t>
            </w:r>
          </w:p>
        </w:tc>
      </w:tr>
      <w:tr w:rsidR="00F9226A" w14:paraId="2AA79019" w14:textId="77777777" w:rsidTr="009D7770">
        <w:trPr>
          <w:trHeight w:val="310"/>
        </w:trPr>
        <w:tc>
          <w:tcPr>
            <w:tcW w:w="2891" w:type="dxa"/>
            <w:shd w:val="clear" w:color="auto" w:fill="F9D2D0" w:themeFill="accent1" w:themeFillTint="33"/>
            <w:vAlign w:val="center"/>
          </w:tcPr>
          <w:p w14:paraId="12F517B0" w14:textId="4EC0FE72" w:rsidR="00F9226A" w:rsidRPr="00BF334D" w:rsidRDefault="00F9226A" w:rsidP="00D0081F">
            <w:pPr>
              <w:pStyle w:val="DatosTabla"/>
              <w:rPr>
                <w:rFonts w:ascii="Arial" w:eastAsia="Times New Roman" w:hAnsi="Arial" w:cs="Arial"/>
                <w:b/>
                <w:bCs/>
                <w:color w:val="auto"/>
                <w:szCs w:val="22"/>
                <w:lang w:val="es-ES" w:eastAsia="es-ES"/>
              </w:rPr>
            </w:pPr>
            <w:r w:rsidRPr="00BF334D">
              <w:rPr>
                <w:rFonts w:ascii="Arial" w:eastAsia="Times New Roman" w:hAnsi="Arial" w:cs="Arial"/>
                <w:b/>
                <w:bCs/>
                <w:color w:val="auto"/>
                <w:szCs w:val="22"/>
                <w:lang w:val="es-ES" w:eastAsia="es-ES"/>
              </w:rPr>
              <w:t>ODVODNJA SAMOBOR d.o.o.</w:t>
            </w:r>
          </w:p>
        </w:tc>
        <w:tc>
          <w:tcPr>
            <w:tcW w:w="2096" w:type="dxa"/>
            <w:vAlign w:val="center"/>
          </w:tcPr>
          <w:p w14:paraId="5F9A84BE" w14:textId="5CEE3EEB"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Samobor</w:t>
            </w:r>
          </w:p>
        </w:tc>
        <w:tc>
          <w:tcPr>
            <w:tcW w:w="2346" w:type="dxa"/>
            <w:shd w:val="clear" w:color="auto" w:fill="F9D2D0" w:themeFill="accent1" w:themeFillTint="33"/>
            <w:vAlign w:val="center"/>
          </w:tcPr>
          <w:p w14:paraId="45E343A4" w14:textId="6ED12CD4" w:rsidR="00F9226A" w:rsidRPr="00F9226A" w:rsidRDefault="00F9226A" w:rsidP="00D0081F">
            <w:pPr>
              <w:pStyle w:val="DatosTabla"/>
              <w:rPr>
                <w:rFonts w:ascii="Arial" w:eastAsia="Times New Roman" w:hAnsi="Arial" w:cs="Arial"/>
                <w:b/>
                <w:bCs/>
                <w:color w:val="auto"/>
                <w:szCs w:val="22"/>
                <w:lang w:val="es-ES" w:eastAsia="es-ES"/>
              </w:rPr>
            </w:pPr>
            <w:r w:rsidRPr="00BF334D">
              <w:rPr>
                <w:rFonts w:ascii="Arial" w:eastAsia="Times New Roman" w:hAnsi="Arial" w:cs="Arial"/>
                <w:b/>
                <w:bCs/>
                <w:color w:val="auto"/>
                <w:szCs w:val="22"/>
                <w:lang w:val="es-ES" w:eastAsia="es-ES"/>
              </w:rPr>
              <w:t xml:space="preserve">ZAGORSKI VODOVOD d.o.o. </w:t>
            </w:r>
          </w:p>
        </w:tc>
        <w:tc>
          <w:tcPr>
            <w:tcW w:w="2369" w:type="dxa"/>
            <w:vAlign w:val="center"/>
          </w:tcPr>
          <w:p w14:paraId="3AA6C385" w14:textId="69B1C57D"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auto"/>
                <w:szCs w:val="22"/>
                <w:lang w:val="es-ES" w:eastAsia="es-ES"/>
              </w:rPr>
              <w:t>Zabok</w:t>
            </w:r>
          </w:p>
        </w:tc>
      </w:tr>
      <w:tr w:rsidR="00F9226A" w14:paraId="64FBA7B1" w14:textId="77777777" w:rsidTr="009D7770">
        <w:trPr>
          <w:trHeight w:val="310"/>
        </w:trPr>
        <w:tc>
          <w:tcPr>
            <w:tcW w:w="2891" w:type="dxa"/>
            <w:shd w:val="clear" w:color="auto" w:fill="F9D2D0" w:themeFill="accent1" w:themeFillTint="33"/>
            <w:vAlign w:val="center"/>
          </w:tcPr>
          <w:p w14:paraId="1B37D8FB" w14:textId="5FAC0DB0" w:rsidR="00F9226A" w:rsidRPr="00BF334D" w:rsidRDefault="00F9226A" w:rsidP="00D0081F">
            <w:pPr>
              <w:pStyle w:val="DatosTabla"/>
              <w:rPr>
                <w:rFonts w:ascii="Arial" w:eastAsia="Times New Roman" w:hAnsi="Arial" w:cs="Arial"/>
                <w:b/>
                <w:bCs/>
                <w:color w:val="auto"/>
                <w:szCs w:val="22"/>
                <w:lang w:val="es-ES" w:eastAsia="es-ES"/>
              </w:rPr>
            </w:pPr>
            <w:r w:rsidRPr="00C84405">
              <w:rPr>
                <w:rFonts w:ascii="Arial" w:eastAsia="Times New Roman" w:hAnsi="Arial" w:cs="Arial"/>
                <w:b/>
                <w:bCs/>
                <w:color w:val="auto"/>
                <w:szCs w:val="22"/>
                <w:lang w:val="es-ES" w:eastAsia="es-ES"/>
              </w:rPr>
              <w:t>OSIJEK-KOTEKS</w:t>
            </w:r>
            <w:r>
              <w:rPr>
                <w:rFonts w:ascii="Arial" w:eastAsia="Times New Roman" w:hAnsi="Arial" w:cs="Arial"/>
                <w:b/>
                <w:bCs/>
                <w:color w:val="auto"/>
                <w:szCs w:val="22"/>
                <w:lang w:val="es-ES" w:eastAsia="es-ES"/>
              </w:rPr>
              <w:t xml:space="preserve"> d.d.</w:t>
            </w:r>
          </w:p>
        </w:tc>
        <w:tc>
          <w:tcPr>
            <w:tcW w:w="2096" w:type="dxa"/>
            <w:vAlign w:val="center"/>
          </w:tcPr>
          <w:p w14:paraId="488BE38F" w14:textId="2FC30BE3" w:rsidR="00F9226A" w:rsidRPr="005573B3" w:rsidRDefault="00F9226A" w:rsidP="00D0081F">
            <w:pPr>
              <w:pStyle w:val="DatosTabla"/>
              <w:rPr>
                <w:rFonts w:ascii="Arial" w:eastAsia="Times New Roman" w:hAnsi="Arial" w:cs="Arial"/>
                <w:color w:val="000000"/>
                <w:szCs w:val="22"/>
                <w:lang w:val="es-ES" w:eastAsia="es-ES"/>
              </w:rPr>
            </w:pPr>
            <w:r>
              <w:rPr>
                <w:rFonts w:ascii="Arial" w:eastAsia="Times New Roman" w:hAnsi="Arial" w:cs="Arial"/>
                <w:color w:val="000000"/>
                <w:szCs w:val="22"/>
                <w:lang w:val="es-ES" w:eastAsia="es-ES"/>
              </w:rPr>
              <w:t>Osijek</w:t>
            </w:r>
          </w:p>
        </w:tc>
        <w:tc>
          <w:tcPr>
            <w:tcW w:w="2346" w:type="dxa"/>
            <w:shd w:val="clear" w:color="auto" w:fill="F9D2D0" w:themeFill="accent1" w:themeFillTint="33"/>
            <w:vAlign w:val="center"/>
          </w:tcPr>
          <w:p w14:paraId="39A5BEA4" w14:textId="63F22BA4" w:rsidR="00F9226A" w:rsidRPr="00F9226A" w:rsidRDefault="00F9226A" w:rsidP="00D0081F">
            <w:pPr>
              <w:pStyle w:val="DatosTabla"/>
              <w:rPr>
                <w:rFonts w:ascii="Arial" w:eastAsia="Times New Roman" w:hAnsi="Arial" w:cs="Arial"/>
                <w:b/>
                <w:bCs/>
                <w:color w:val="auto"/>
                <w:szCs w:val="22"/>
                <w:lang w:val="en-US" w:eastAsia="es-ES"/>
              </w:rPr>
            </w:pPr>
            <w:r w:rsidRPr="00BF334D">
              <w:rPr>
                <w:rFonts w:ascii="Arial" w:eastAsia="Times New Roman" w:hAnsi="Arial" w:cs="Arial"/>
                <w:b/>
                <w:bCs/>
                <w:color w:val="auto"/>
                <w:szCs w:val="22"/>
                <w:lang w:val="en-US" w:eastAsia="es-ES"/>
              </w:rPr>
              <w:t>ZAGREBAČKI HOLDING d.o.o.</w:t>
            </w:r>
          </w:p>
        </w:tc>
        <w:tc>
          <w:tcPr>
            <w:tcW w:w="2369" w:type="dxa"/>
            <w:vAlign w:val="center"/>
          </w:tcPr>
          <w:p w14:paraId="268F5D51" w14:textId="5C812D9C" w:rsidR="00F9226A" w:rsidRPr="005573B3" w:rsidRDefault="00F9226A" w:rsidP="00D0081F">
            <w:pPr>
              <w:pStyle w:val="DatosTabla"/>
              <w:rPr>
                <w:rFonts w:ascii="Arial" w:eastAsia="Times New Roman" w:hAnsi="Arial" w:cs="Arial"/>
                <w:color w:val="000000"/>
                <w:szCs w:val="22"/>
                <w:lang w:val="es-ES" w:eastAsia="es-ES"/>
              </w:rPr>
            </w:pPr>
            <w:r w:rsidRPr="005573B3">
              <w:rPr>
                <w:rFonts w:ascii="Arial" w:eastAsia="Times New Roman" w:hAnsi="Arial" w:cs="Arial"/>
                <w:color w:val="000000"/>
                <w:szCs w:val="22"/>
                <w:lang w:val="es-ES" w:eastAsia="es-ES"/>
              </w:rPr>
              <w:t>Zagreb</w:t>
            </w:r>
          </w:p>
        </w:tc>
      </w:tr>
    </w:tbl>
    <w:p w14:paraId="385E8D98" w14:textId="121ADF34" w:rsidR="00435077" w:rsidRPr="00F9226A" w:rsidRDefault="00435077" w:rsidP="001D30E0">
      <w:pPr>
        <w:spacing w:before="120"/>
        <w:rPr>
          <w:color w:val="9D9A9D" w:themeColor="accent5"/>
          <w:sz w:val="18"/>
          <w:szCs w:val="20"/>
          <w:lang w:eastAsia="es-ES"/>
        </w:rPr>
      </w:pPr>
      <w:r w:rsidRPr="00A02A2B">
        <w:rPr>
          <w:color w:val="9D9A9D" w:themeColor="accent5"/>
          <w:sz w:val="18"/>
          <w:szCs w:val="20"/>
          <w:lang w:eastAsia="es-ES"/>
        </w:rPr>
        <w:t xml:space="preserve">Fuente: Elaboración </w:t>
      </w:r>
      <w:r w:rsidRPr="001C3A52">
        <w:rPr>
          <w:color w:val="9D9A9D" w:themeColor="accent5"/>
          <w:sz w:val="18"/>
          <w:szCs w:val="20"/>
          <w:lang w:eastAsia="es-ES"/>
        </w:rPr>
        <w:t>propia</w:t>
      </w:r>
      <w:r w:rsidR="006830C3" w:rsidRPr="001C3A52">
        <w:rPr>
          <w:color w:val="9D9A9D" w:themeColor="accent5"/>
          <w:sz w:val="18"/>
          <w:szCs w:val="20"/>
          <w:lang w:eastAsia="es-ES"/>
        </w:rPr>
        <w:t xml:space="preserve"> </w:t>
      </w:r>
      <w:r w:rsidR="002E2D3B" w:rsidRPr="001C3A52">
        <w:rPr>
          <w:color w:val="9D9A9D" w:themeColor="accent5"/>
          <w:sz w:val="18"/>
          <w:szCs w:val="20"/>
          <w:lang w:eastAsia="es-ES"/>
        </w:rPr>
        <w:t>en base a</w:t>
      </w:r>
      <w:r w:rsidR="006830C3" w:rsidRPr="001C3A52">
        <w:rPr>
          <w:color w:val="9D9A9D" w:themeColor="accent5"/>
          <w:sz w:val="18"/>
          <w:szCs w:val="20"/>
          <w:lang w:eastAsia="es-ES"/>
        </w:rPr>
        <w:t xml:space="preserve"> </w:t>
      </w:r>
      <w:r w:rsidR="002E2D3B" w:rsidRPr="001C3A52">
        <w:rPr>
          <w:color w:val="9D9A9D" w:themeColor="accent5"/>
          <w:sz w:val="18"/>
          <w:szCs w:val="20"/>
          <w:lang w:eastAsia="es-ES"/>
        </w:rPr>
        <w:t>información</w:t>
      </w:r>
      <w:r w:rsidR="006830C3" w:rsidRPr="001C3A52">
        <w:rPr>
          <w:color w:val="9D9A9D" w:themeColor="accent5"/>
          <w:sz w:val="18"/>
          <w:szCs w:val="20"/>
          <w:lang w:eastAsia="es-ES"/>
        </w:rPr>
        <w:t xml:space="preserve"> </w:t>
      </w:r>
      <w:r w:rsidR="002E2D3B" w:rsidRPr="001C3A52">
        <w:rPr>
          <w:color w:val="9D9A9D" w:themeColor="accent5"/>
          <w:sz w:val="18"/>
          <w:szCs w:val="20"/>
          <w:lang w:eastAsia="es-ES"/>
        </w:rPr>
        <w:t>recabada por la</w:t>
      </w:r>
      <w:r w:rsidR="006830C3" w:rsidRPr="001C3A52">
        <w:rPr>
          <w:color w:val="9D9A9D" w:themeColor="accent5"/>
          <w:sz w:val="18"/>
          <w:szCs w:val="20"/>
          <w:lang w:eastAsia="es-ES"/>
        </w:rPr>
        <w:t xml:space="preserve"> </w:t>
      </w:r>
      <w:r w:rsidR="001C3A52">
        <w:rPr>
          <w:color w:val="9D9A9D" w:themeColor="accent5"/>
          <w:sz w:val="18"/>
          <w:szCs w:val="20"/>
          <w:lang w:eastAsia="es-ES"/>
        </w:rPr>
        <w:t>Oficina Económica y Comercial de España en Zagreb</w:t>
      </w:r>
      <w:r w:rsidR="00C84405">
        <w:rPr>
          <w:color w:val="9D9A9D" w:themeColor="accent5"/>
          <w:sz w:val="18"/>
          <w:szCs w:val="20"/>
          <w:lang w:eastAsia="es-ES"/>
        </w:rPr>
        <w:t xml:space="preserve"> de empresas que han ganado proyectos en el país</w:t>
      </w:r>
      <w:r w:rsidR="001C3A52">
        <w:rPr>
          <w:color w:val="9D9A9D" w:themeColor="accent5"/>
          <w:sz w:val="18"/>
          <w:szCs w:val="20"/>
          <w:lang w:eastAsia="es-ES"/>
        </w:rPr>
        <w:t>.</w:t>
      </w:r>
    </w:p>
    <w:p w14:paraId="62C27F01" w14:textId="461AC36A" w:rsidR="00BB2A74" w:rsidRDefault="004F1B6B" w:rsidP="007A2D36">
      <w:pPr>
        <w:pStyle w:val="Ttulo1"/>
        <w:ind w:left="0"/>
      </w:pPr>
      <w:bookmarkStart w:id="15" w:name="_Toc148363697"/>
      <w:r>
        <w:lastRenderedPageBreak/>
        <w:t>Oportunidades de negocio</w:t>
      </w:r>
      <w:bookmarkEnd w:id="15"/>
    </w:p>
    <w:p w14:paraId="285452D9" w14:textId="45995CAE" w:rsidR="004922AD" w:rsidRDefault="003F5107" w:rsidP="004922AD">
      <w:pPr>
        <w:pStyle w:val="Ttulo2"/>
      </w:pPr>
      <w:bookmarkStart w:id="16" w:name="_Toc148363698"/>
      <w:r>
        <w:t>Demanda</w:t>
      </w:r>
      <w:r w:rsidR="00444A9E">
        <w:t>, panorama</w:t>
      </w:r>
      <w:r w:rsidR="00B73892">
        <w:t xml:space="preserve"> </w:t>
      </w:r>
      <w:r w:rsidR="00444A9E">
        <w:t xml:space="preserve">y previsión </w:t>
      </w:r>
      <w:r w:rsidR="00B73892">
        <w:t>de inversión</w:t>
      </w:r>
      <w:r w:rsidR="00F572B2">
        <w:t xml:space="preserve"> en el sector hídrico</w:t>
      </w:r>
      <w:bookmarkEnd w:id="16"/>
    </w:p>
    <w:p w14:paraId="7731E965" w14:textId="17DB1786" w:rsidR="002138C5" w:rsidRDefault="002138C5" w:rsidP="002138C5">
      <w:pPr>
        <w:rPr>
          <w:color w:val="auto"/>
          <w:lang w:eastAsia="es-ES"/>
        </w:rPr>
      </w:pPr>
      <w:bookmarkStart w:id="17" w:name="_Hlk143960239"/>
      <w:r w:rsidRPr="002138C5">
        <w:rPr>
          <w:color w:val="auto"/>
          <w:lang w:eastAsia="es-ES"/>
        </w:rPr>
        <w:t xml:space="preserve">Según el Banco Mundial, </w:t>
      </w:r>
      <w:r w:rsidRPr="002138C5">
        <w:rPr>
          <w:b/>
          <w:bCs/>
          <w:color w:val="auto"/>
          <w:lang w:eastAsia="es-ES"/>
        </w:rPr>
        <w:t>la población de Croacia ha disminuido significativamente</w:t>
      </w:r>
      <w:r w:rsidRPr="002138C5">
        <w:rPr>
          <w:color w:val="auto"/>
          <w:lang w:eastAsia="es-ES"/>
        </w:rPr>
        <w:t xml:space="preserve"> en las últimas décadas. De los 4,7 millones de habitantes registrados en 1990, en </w:t>
      </w:r>
      <w:r w:rsidRPr="002138C5">
        <w:rPr>
          <w:b/>
          <w:bCs/>
          <w:color w:val="auto"/>
          <w:lang w:eastAsia="es-ES"/>
        </w:rPr>
        <w:t>2022</w:t>
      </w:r>
      <w:r w:rsidRPr="002138C5">
        <w:rPr>
          <w:color w:val="auto"/>
          <w:lang w:eastAsia="es-ES"/>
        </w:rPr>
        <w:t xml:space="preserve"> esta cifra era de aproximadamente </w:t>
      </w:r>
      <w:r w:rsidRPr="002138C5">
        <w:rPr>
          <w:b/>
          <w:bCs/>
          <w:color w:val="auto"/>
          <w:lang w:eastAsia="es-ES"/>
        </w:rPr>
        <w:t>3,8 millones</w:t>
      </w:r>
      <w:r w:rsidRPr="002138C5">
        <w:rPr>
          <w:color w:val="auto"/>
          <w:lang w:eastAsia="es-ES"/>
        </w:rPr>
        <w:t>.</w:t>
      </w:r>
      <w:r>
        <w:rPr>
          <w:rStyle w:val="Refdenotaalpie"/>
        </w:rPr>
        <w:footnoteReference w:id="11"/>
      </w:r>
      <w:r w:rsidRPr="002138C5">
        <w:rPr>
          <w:color w:val="auto"/>
          <w:lang w:eastAsia="es-ES"/>
        </w:rPr>
        <w:t xml:space="preserve"> Alrededor del </w:t>
      </w:r>
      <w:r w:rsidRPr="002138C5">
        <w:rPr>
          <w:b/>
          <w:bCs/>
          <w:color w:val="auto"/>
          <w:lang w:eastAsia="es-ES"/>
        </w:rPr>
        <w:t>60</w:t>
      </w:r>
      <w:r w:rsidR="00D0081F">
        <w:rPr>
          <w:b/>
          <w:bCs/>
          <w:color w:val="auto"/>
          <w:lang w:eastAsia="es-ES"/>
        </w:rPr>
        <w:t xml:space="preserve"> </w:t>
      </w:r>
      <w:r w:rsidRPr="002138C5">
        <w:rPr>
          <w:b/>
          <w:bCs/>
          <w:color w:val="auto"/>
          <w:lang w:eastAsia="es-ES"/>
        </w:rPr>
        <w:t>%</w:t>
      </w:r>
      <w:r w:rsidRPr="002138C5">
        <w:rPr>
          <w:color w:val="auto"/>
          <w:lang w:eastAsia="es-ES"/>
        </w:rPr>
        <w:t xml:space="preserve"> de esta población vive en </w:t>
      </w:r>
      <w:r w:rsidRPr="002138C5">
        <w:rPr>
          <w:b/>
          <w:bCs/>
          <w:color w:val="auto"/>
          <w:lang w:eastAsia="es-ES"/>
        </w:rPr>
        <w:t>áreas urbanas</w:t>
      </w:r>
      <w:r w:rsidRPr="002138C5">
        <w:rPr>
          <w:color w:val="auto"/>
          <w:lang w:eastAsia="es-ES"/>
        </w:rPr>
        <w:t>, y se espera que este porcentaje aumente al 70</w:t>
      </w:r>
      <w:r w:rsidR="00D0081F">
        <w:rPr>
          <w:color w:val="auto"/>
          <w:lang w:eastAsia="es-ES"/>
        </w:rPr>
        <w:t xml:space="preserve"> </w:t>
      </w:r>
      <w:r w:rsidRPr="002138C5">
        <w:rPr>
          <w:color w:val="auto"/>
          <w:lang w:eastAsia="es-ES"/>
        </w:rPr>
        <w:t>% para 2050, según la ONU.</w:t>
      </w:r>
      <w:r>
        <w:rPr>
          <w:rStyle w:val="Refdenotaalpie"/>
        </w:rPr>
        <w:footnoteReference w:id="12"/>
      </w:r>
    </w:p>
    <w:p w14:paraId="543781C3" w14:textId="096D8162" w:rsidR="002138C5" w:rsidRPr="002138C5" w:rsidRDefault="002138C5" w:rsidP="002138C5">
      <w:pPr>
        <w:rPr>
          <w:color w:val="auto"/>
          <w:lang w:eastAsia="es-ES"/>
        </w:rPr>
      </w:pPr>
      <w:r w:rsidRPr="002138C5">
        <w:rPr>
          <w:color w:val="auto"/>
          <w:lang w:eastAsia="es-ES"/>
        </w:rPr>
        <w:t xml:space="preserve">En cuanto al </w:t>
      </w:r>
      <w:r w:rsidRPr="002138C5">
        <w:rPr>
          <w:b/>
          <w:bCs/>
          <w:color w:val="auto"/>
          <w:lang w:eastAsia="es-ES"/>
        </w:rPr>
        <w:t>consumo de agua</w:t>
      </w:r>
      <w:r w:rsidRPr="002138C5">
        <w:rPr>
          <w:color w:val="auto"/>
          <w:lang w:eastAsia="es-ES"/>
        </w:rPr>
        <w:t xml:space="preserve">, en </w:t>
      </w:r>
      <w:r w:rsidRPr="002138C5">
        <w:rPr>
          <w:b/>
          <w:bCs/>
          <w:color w:val="auto"/>
          <w:lang w:eastAsia="es-ES"/>
        </w:rPr>
        <w:t>2022</w:t>
      </w:r>
      <w:r w:rsidRPr="002138C5">
        <w:rPr>
          <w:color w:val="auto"/>
          <w:lang w:eastAsia="es-ES"/>
        </w:rPr>
        <w:t xml:space="preserve"> se distribuyeron en Croacia aproximadamente </w:t>
      </w:r>
      <w:r w:rsidRPr="002138C5">
        <w:rPr>
          <w:b/>
          <w:bCs/>
          <w:color w:val="auto"/>
          <w:lang w:eastAsia="es-ES"/>
        </w:rPr>
        <w:t>307 millones de m</w:t>
      </w:r>
      <w:r w:rsidR="0038607E" w:rsidRPr="0038607E">
        <w:rPr>
          <w:b/>
          <w:bCs/>
          <w:color w:val="auto"/>
          <w:vertAlign w:val="superscript"/>
          <w:lang w:eastAsia="es-ES"/>
        </w:rPr>
        <w:t>3</w:t>
      </w:r>
      <w:r w:rsidRPr="002138C5">
        <w:rPr>
          <w:color w:val="auto"/>
          <w:lang w:eastAsia="es-ES"/>
        </w:rPr>
        <w:t xml:space="preserve">, de los cuales el </w:t>
      </w:r>
      <w:r w:rsidRPr="002138C5">
        <w:rPr>
          <w:b/>
          <w:bCs/>
          <w:color w:val="auto"/>
          <w:lang w:eastAsia="es-ES"/>
        </w:rPr>
        <w:t>71,9</w:t>
      </w:r>
      <w:r w:rsidR="00D0081F">
        <w:rPr>
          <w:b/>
          <w:bCs/>
          <w:color w:val="auto"/>
          <w:lang w:eastAsia="es-ES"/>
        </w:rPr>
        <w:t xml:space="preserve"> </w:t>
      </w:r>
      <w:r w:rsidRPr="002138C5">
        <w:rPr>
          <w:b/>
          <w:bCs/>
          <w:color w:val="auto"/>
          <w:lang w:eastAsia="es-ES"/>
        </w:rPr>
        <w:t>%</w:t>
      </w:r>
      <w:r w:rsidRPr="002138C5">
        <w:rPr>
          <w:color w:val="auto"/>
          <w:lang w:eastAsia="es-ES"/>
        </w:rPr>
        <w:t xml:space="preserve"> (175,383,000 m</w:t>
      </w:r>
      <w:r w:rsidR="0038607E">
        <w:rPr>
          <w:color w:val="auto"/>
          <w:vertAlign w:val="superscript"/>
          <w:lang w:eastAsia="es-ES"/>
        </w:rPr>
        <w:t>3</w:t>
      </w:r>
      <w:r w:rsidRPr="002138C5">
        <w:rPr>
          <w:color w:val="auto"/>
          <w:lang w:eastAsia="es-ES"/>
        </w:rPr>
        <w:t xml:space="preserve">) se destinó al </w:t>
      </w:r>
      <w:r w:rsidRPr="002138C5">
        <w:rPr>
          <w:b/>
          <w:bCs/>
          <w:color w:val="auto"/>
          <w:lang w:eastAsia="es-ES"/>
        </w:rPr>
        <w:t>consumo doméstico</w:t>
      </w:r>
      <w:r w:rsidRPr="002138C5">
        <w:rPr>
          <w:color w:val="auto"/>
          <w:lang w:eastAsia="es-ES"/>
        </w:rPr>
        <w:t>.</w:t>
      </w:r>
      <w:r>
        <w:rPr>
          <w:rStyle w:val="Refdenotaalpie"/>
          <w:lang w:val="es-ES" w:eastAsia="es-ES"/>
        </w:rPr>
        <w:footnoteReference w:id="13"/>
      </w:r>
      <w:r w:rsidRPr="002138C5">
        <w:rPr>
          <w:color w:val="auto"/>
          <w:lang w:eastAsia="es-ES"/>
        </w:rPr>
        <w:t xml:space="preserve"> Datos de UNICEF indican que más del </w:t>
      </w:r>
      <w:r w:rsidRPr="0038607E">
        <w:rPr>
          <w:color w:val="auto"/>
          <w:lang w:eastAsia="es-ES"/>
        </w:rPr>
        <w:t>99</w:t>
      </w:r>
      <w:r w:rsidR="00A04252">
        <w:rPr>
          <w:color w:val="auto"/>
          <w:lang w:eastAsia="es-ES"/>
        </w:rPr>
        <w:t xml:space="preserve"> </w:t>
      </w:r>
      <w:r w:rsidRPr="0038607E">
        <w:rPr>
          <w:color w:val="auto"/>
          <w:lang w:eastAsia="es-ES"/>
        </w:rPr>
        <w:t xml:space="preserve">% del agua suministrada en </w:t>
      </w:r>
      <w:r w:rsidRPr="0038607E">
        <w:rPr>
          <w:color w:val="auto"/>
          <w:u w:val="single"/>
          <w:lang w:eastAsia="es-ES"/>
        </w:rPr>
        <w:t>zonas urbanas</w:t>
      </w:r>
      <w:r w:rsidRPr="0038607E">
        <w:rPr>
          <w:color w:val="auto"/>
          <w:lang w:eastAsia="es-ES"/>
        </w:rPr>
        <w:t xml:space="preserve"> es potable</w:t>
      </w:r>
      <w:r w:rsidRPr="002138C5">
        <w:rPr>
          <w:color w:val="auto"/>
          <w:lang w:eastAsia="es-ES"/>
        </w:rPr>
        <w:t>, y el 97</w:t>
      </w:r>
      <w:r w:rsidR="00D0081F">
        <w:rPr>
          <w:color w:val="auto"/>
          <w:lang w:eastAsia="es-ES"/>
        </w:rPr>
        <w:t xml:space="preserve"> </w:t>
      </w:r>
      <w:r w:rsidRPr="002138C5">
        <w:rPr>
          <w:color w:val="auto"/>
          <w:lang w:eastAsia="es-ES"/>
        </w:rPr>
        <w:t xml:space="preserve">% de dicha población </w:t>
      </w:r>
      <w:r w:rsidRPr="00E45287">
        <w:t xml:space="preserve">cuenta con un abastecimiento </w:t>
      </w:r>
      <w:r>
        <w:t>de agua mejorado</w:t>
      </w:r>
      <w:r w:rsidRPr="00E45287">
        <w:t>,</w:t>
      </w:r>
      <w:r>
        <w:t xml:space="preserve"> de mayor calidad y</w:t>
      </w:r>
      <w:r w:rsidRPr="00E45287">
        <w:t xml:space="preserve"> libre de contaminación</w:t>
      </w:r>
      <w:r w:rsidRPr="002138C5">
        <w:rPr>
          <w:color w:val="auto"/>
          <w:lang w:eastAsia="es-ES"/>
        </w:rPr>
        <w:t>.</w:t>
      </w:r>
      <w:r w:rsidR="0038607E">
        <w:rPr>
          <w:rStyle w:val="Refdenotaalpie"/>
        </w:rPr>
        <w:footnoteReference w:id="14"/>
      </w:r>
      <w:r w:rsidRPr="002138C5">
        <w:rPr>
          <w:color w:val="auto"/>
          <w:lang w:eastAsia="es-ES"/>
        </w:rPr>
        <w:t xml:space="preserve"> Sin embargo, el panorama cambia al considerar las zonas rurales. Aunque ONU-Agua informa que el </w:t>
      </w:r>
      <w:r w:rsidRPr="0038607E">
        <w:rPr>
          <w:b/>
          <w:bCs/>
          <w:color w:val="auto"/>
          <w:lang w:eastAsia="es-ES"/>
        </w:rPr>
        <w:t>85</w:t>
      </w:r>
      <w:r w:rsidR="00D0081F">
        <w:rPr>
          <w:b/>
          <w:bCs/>
          <w:color w:val="auto"/>
          <w:lang w:eastAsia="es-ES"/>
        </w:rPr>
        <w:t xml:space="preserve"> </w:t>
      </w:r>
      <w:r w:rsidRPr="0038607E">
        <w:rPr>
          <w:b/>
          <w:bCs/>
          <w:color w:val="auto"/>
          <w:lang w:eastAsia="es-ES"/>
        </w:rPr>
        <w:t>% de la población croata tiene acceso a agua potable gestionada de forma segura</w:t>
      </w:r>
      <w:r w:rsidR="0038607E">
        <w:rPr>
          <w:rStyle w:val="Refdenotaalpie"/>
        </w:rPr>
        <w:footnoteReference w:id="15"/>
      </w:r>
      <w:r w:rsidR="0038607E">
        <w:rPr>
          <w:b/>
          <w:bCs/>
          <w:color w:val="auto"/>
          <w:lang w:eastAsia="es-ES"/>
        </w:rPr>
        <w:t>,</w:t>
      </w:r>
      <w:r w:rsidRPr="002138C5">
        <w:rPr>
          <w:color w:val="auto"/>
          <w:lang w:eastAsia="es-ES"/>
        </w:rPr>
        <w:t xml:space="preserve"> esto sugiere que solo el 70</w:t>
      </w:r>
      <w:r w:rsidR="00D0081F">
        <w:rPr>
          <w:color w:val="auto"/>
          <w:lang w:eastAsia="es-ES"/>
        </w:rPr>
        <w:t xml:space="preserve"> </w:t>
      </w:r>
      <w:r w:rsidRPr="002138C5">
        <w:rPr>
          <w:color w:val="auto"/>
          <w:lang w:eastAsia="es-ES"/>
        </w:rPr>
        <w:t xml:space="preserve">% de la </w:t>
      </w:r>
      <w:r w:rsidRPr="0038607E">
        <w:rPr>
          <w:color w:val="auto"/>
          <w:u w:val="single"/>
          <w:lang w:eastAsia="es-ES"/>
        </w:rPr>
        <w:t>población rural</w:t>
      </w:r>
      <w:r w:rsidRPr="002138C5">
        <w:rPr>
          <w:color w:val="auto"/>
          <w:lang w:eastAsia="es-ES"/>
        </w:rPr>
        <w:t xml:space="preserve"> tiene acceso a dicho recurso. Existe un margen significativo para mejorar la provisión de agua potable en estas zonas, lo que representa una oportunidad de negocio para empresas especializadas.</w:t>
      </w:r>
    </w:p>
    <w:p w14:paraId="31CDB281" w14:textId="3F1BBD4A" w:rsidR="0038607E" w:rsidRPr="002138C5" w:rsidRDefault="0038607E" w:rsidP="0038607E">
      <w:pPr>
        <w:rPr>
          <w:color w:val="auto"/>
          <w:lang w:eastAsia="es-ES"/>
        </w:rPr>
      </w:pPr>
      <w:r w:rsidRPr="002138C5">
        <w:rPr>
          <w:color w:val="auto"/>
          <w:lang w:eastAsia="es-ES"/>
        </w:rPr>
        <w:t xml:space="preserve">Desde la </w:t>
      </w:r>
      <w:r w:rsidRPr="0038607E">
        <w:rPr>
          <w:b/>
          <w:bCs/>
          <w:color w:val="auto"/>
          <w:lang w:eastAsia="es-ES"/>
        </w:rPr>
        <w:t>adhesión de Croacia</w:t>
      </w:r>
      <w:r w:rsidRPr="002138C5">
        <w:rPr>
          <w:color w:val="auto"/>
          <w:lang w:eastAsia="es-ES"/>
        </w:rPr>
        <w:t xml:space="preserve"> a la Unión Europea en </w:t>
      </w:r>
      <w:r w:rsidRPr="0038607E">
        <w:rPr>
          <w:b/>
          <w:bCs/>
          <w:color w:val="auto"/>
          <w:lang w:eastAsia="es-ES"/>
        </w:rPr>
        <w:t>2013</w:t>
      </w:r>
      <w:r w:rsidRPr="002138C5">
        <w:rPr>
          <w:color w:val="auto"/>
          <w:lang w:eastAsia="es-ES"/>
        </w:rPr>
        <w:t xml:space="preserve">, </w:t>
      </w:r>
      <w:r w:rsidRPr="0038607E">
        <w:rPr>
          <w:color w:val="auto"/>
          <w:u w:val="single"/>
          <w:lang w:eastAsia="es-ES"/>
        </w:rPr>
        <w:t>el país ha estado transformando su sector hídrico para alinearse con las normativas europeas</w:t>
      </w:r>
      <w:r w:rsidRPr="002138C5">
        <w:rPr>
          <w:color w:val="auto"/>
          <w:lang w:eastAsia="es-ES"/>
        </w:rPr>
        <w:t>. Esta adaptación ha sido una prioridad para el Gobierno croata, que ha invertido considerablemente en renovación y mejora del sistema hídrico.</w:t>
      </w:r>
      <w:r w:rsidR="00D279C8">
        <w:rPr>
          <w:rStyle w:val="Refdenotaalpie"/>
          <w:lang w:eastAsia="es-ES"/>
        </w:rPr>
        <w:footnoteReference w:id="16"/>
      </w:r>
      <w:r w:rsidRPr="002138C5">
        <w:rPr>
          <w:color w:val="auto"/>
          <w:lang w:eastAsia="es-ES"/>
        </w:rPr>
        <w:t xml:space="preserve"> Además, se esperan reformas financiadas tanto por fondos nacionales como europeos, lo que presenta oportunidades en áreas como tratamiento de aguas residuales, desarrollo rural sostenible, prevención de pérdidas de agua, desalinización y prevención de inundaciones</w:t>
      </w:r>
      <w:r>
        <w:rPr>
          <w:color w:val="auto"/>
          <w:lang w:eastAsia="es-ES"/>
        </w:rPr>
        <w:t>. Sobre estas áreas de oportunidad se incidirá en mayor detalle en el siguiente punto (4.2.).</w:t>
      </w:r>
    </w:p>
    <w:p w14:paraId="493A3CB1" w14:textId="16A3B5C7" w:rsidR="00B95FD8" w:rsidRPr="00444A9E" w:rsidRDefault="0038607E" w:rsidP="00B95FD8">
      <w:pPr>
        <w:rPr>
          <w:color w:val="auto"/>
          <w:lang w:eastAsia="es-ES"/>
        </w:rPr>
      </w:pPr>
      <w:r w:rsidRPr="002138C5">
        <w:rPr>
          <w:color w:val="auto"/>
          <w:lang w:eastAsia="es-ES"/>
        </w:rPr>
        <w:t xml:space="preserve">Por su parte, el </w:t>
      </w:r>
      <w:hyperlink r:id="rId22" w:history="1">
        <w:r w:rsidR="00DF0727" w:rsidRPr="00C52E35">
          <w:rPr>
            <w:rStyle w:val="Hipervnculo"/>
            <w:lang w:val="es-ES" w:eastAsia="es-ES"/>
          </w:rPr>
          <w:t>Informe País de Croacia de 2023</w:t>
        </w:r>
      </w:hyperlink>
      <w:r w:rsidR="00DF0727" w:rsidRPr="00C52E35">
        <w:rPr>
          <w:color w:val="auto"/>
          <w:lang w:val="es-ES" w:eastAsia="es-ES"/>
        </w:rPr>
        <w:t xml:space="preserve"> </w:t>
      </w:r>
      <w:r w:rsidR="00247709">
        <w:rPr>
          <w:color w:val="auto"/>
          <w:lang w:eastAsia="es-ES"/>
        </w:rPr>
        <w:t>elaborado por</w:t>
      </w:r>
      <w:r w:rsidRPr="002138C5">
        <w:rPr>
          <w:color w:val="auto"/>
          <w:lang w:eastAsia="es-ES"/>
        </w:rPr>
        <w:t xml:space="preserve"> la Comisión Europea destaca avances en la gestión del agua, alcantarillado y residuos como parte del </w:t>
      </w:r>
      <w:r w:rsidRPr="00DF0727">
        <w:rPr>
          <w:b/>
          <w:bCs/>
          <w:color w:val="auto"/>
          <w:lang w:eastAsia="es-ES"/>
        </w:rPr>
        <w:t xml:space="preserve">Plan de Recuperación y </w:t>
      </w:r>
      <w:r w:rsidRPr="00DF0727">
        <w:rPr>
          <w:b/>
          <w:bCs/>
          <w:color w:val="auto"/>
          <w:lang w:eastAsia="es-ES"/>
        </w:rPr>
        <w:lastRenderedPageBreak/>
        <w:t>Resiliencia (RRP)</w:t>
      </w:r>
      <w:r w:rsidRPr="002138C5">
        <w:rPr>
          <w:color w:val="auto"/>
          <w:lang w:eastAsia="es-ES"/>
        </w:rPr>
        <w:t xml:space="preserve"> del país. El RRP aborda retos estructurales y destaca la </w:t>
      </w:r>
      <w:r w:rsidRPr="00DF0727">
        <w:rPr>
          <w:color w:val="auto"/>
          <w:u w:val="single"/>
          <w:lang w:eastAsia="es-ES"/>
        </w:rPr>
        <w:t>necesidad de invertir en la recogida y tratamiento de aguas residuales</w:t>
      </w:r>
      <w:r w:rsidRPr="002138C5">
        <w:rPr>
          <w:color w:val="auto"/>
          <w:lang w:eastAsia="es-ES"/>
        </w:rPr>
        <w:t>, señalando que en 2018 el 93</w:t>
      </w:r>
      <w:r w:rsidR="00D0081F">
        <w:rPr>
          <w:color w:val="auto"/>
          <w:lang w:eastAsia="es-ES"/>
        </w:rPr>
        <w:t xml:space="preserve"> </w:t>
      </w:r>
      <w:r w:rsidRPr="002138C5">
        <w:rPr>
          <w:color w:val="auto"/>
          <w:lang w:eastAsia="es-ES"/>
        </w:rPr>
        <w:t>% de estas no cumplía con los requisitos de tratamiento biológico. Es</w:t>
      </w:r>
      <w:r w:rsidR="00193B65">
        <w:rPr>
          <w:color w:val="auto"/>
          <w:lang w:eastAsia="es-ES"/>
        </w:rPr>
        <w:t>, por tanto,</w:t>
      </w:r>
      <w:r w:rsidRPr="002138C5">
        <w:rPr>
          <w:color w:val="auto"/>
          <w:lang w:eastAsia="es-ES"/>
        </w:rPr>
        <w:t xml:space="preserve"> esencial que Croacia aumente sus </w:t>
      </w:r>
      <w:r w:rsidRPr="00DF0727">
        <w:rPr>
          <w:color w:val="auto"/>
          <w:u w:val="single"/>
          <w:lang w:eastAsia="es-ES"/>
        </w:rPr>
        <w:t>inversiones en saneamiento</w:t>
      </w:r>
      <w:r w:rsidRPr="002138C5">
        <w:rPr>
          <w:color w:val="auto"/>
          <w:lang w:eastAsia="es-ES"/>
        </w:rPr>
        <w:t xml:space="preserve"> para mejorar su infraestructura hídrica y garantizar un desarrollo sostenible a largo plazo.</w:t>
      </w:r>
      <w:bookmarkEnd w:id="17"/>
    </w:p>
    <w:p w14:paraId="752BE6ED" w14:textId="6F89B980" w:rsidR="00383481" w:rsidRPr="00DE02E3" w:rsidRDefault="001D42B0" w:rsidP="00383481">
      <w:pPr>
        <w:pStyle w:val="Ttulo2"/>
      </w:pPr>
      <w:bookmarkStart w:id="20" w:name="_Toc148363699"/>
      <w:r>
        <w:t>Principales áreas de oportunidad en la gestión de recursos hídricos</w:t>
      </w:r>
      <w:bookmarkEnd w:id="20"/>
    </w:p>
    <w:p w14:paraId="0C29145E" w14:textId="70D3DA53" w:rsidR="00A776D0" w:rsidRPr="00A776D0" w:rsidRDefault="009A3764" w:rsidP="00217C39">
      <w:pPr>
        <w:rPr>
          <w:highlight w:val="cyan"/>
        </w:rPr>
      </w:pPr>
      <w:r>
        <w:t xml:space="preserve">En este </w:t>
      </w:r>
      <w:r w:rsidR="00CC02BB">
        <w:t>apartado</w:t>
      </w:r>
      <w:r w:rsidR="00A776D0">
        <w:t xml:space="preserve"> </w:t>
      </w:r>
      <w:r w:rsidR="00A776D0">
        <w:rPr>
          <w:color w:val="auto"/>
          <w:lang w:val="es-ES" w:eastAsia="es-ES"/>
        </w:rPr>
        <w:t xml:space="preserve">se analizarán y explicarán las áreas </w:t>
      </w:r>
      <w:r w:rsidR="006528EF">
        <w:rPr>
          <w:color w:val="auto"/>
          <w:lang w:val="es-ES" w:eastAsia="es-ES"/>
        </w:rPr>
        <w:t xml:space="preserve">de oportunidad </w:t>
      </w:r>
      <w:r w:rsidR="00A776D0">
        <w:rPr>
          <w:color w:val="auto"/>
          <w:lang w:val="es-ES" w:eastAsia="es-ES"/>
        </w:rPr>
        <w:t xml:space="preserve">con mayor relevancia del </w:t>
      </w:r>
      <w:r w:rsidR="00A776D0" w:rsidRPr="005751AA">
        <w:rPr>
          <w:color w:val="auto"/>
          <w:lang w:val="es-ES" w:eastAsia="es-ES"/>
        </w:rPr>
        <w:t xml:space="preserve">sector, como las </w:t>
      </w:r>
      <w:r w:rsidR="00A776D0" w:rsidRPr="005751AA">
        <w:rPr>
          <w:b/>
          <w:bCs/>
          <w:color w:val="auto"/>
          <w:lang w:val="es-ES" w:eastAsia="es-ES"/>
        </w:rPr>
        <w:t>redes de abastecimiento</w:t>
      </w:r>
      <w:r w:rsidR="005751AA" w:rsidRPr="005751AA">
        <w:rPr>
          <w:color w:val="auto"/>
          <w:lang w:val="es-ES" w:eastAsia="es-ES"/>
        </w:rPr>
        <w:t xml:space="preserve">, </w:t>
      </w:r>
      <w:r w:rsidR="00A776D0" w:rsidRPr="005751AA">
        <w:rPr>
          <w:color w:val="auto"/>
          <w:lang w:val="es-ES" w:eastAsia="es-ES"/>
        </w:rPr>
        <w:t xml:space="preserve">los </w:t>
      </w:r>
      <w:r w:rsidR="00A776D0" w:rsidRPr="005751AA">
        <w:rPr>
          <w:b/>
          <w:bCs/>
          <w:color w:val="auto"/>
          <w:lang w:val="es-ES" w:eastAsia="es-ES"/>
        </w:rPr>
        <w:t>tratamientos de aguas residuales</w:t>
      </w:r>
      <w:r w:rsidR="00A776D0" w:rsidRPr="005751AA">
        <w:rPr>
          <w:color w:val="auto"/>
          <w:lang w:val="es-ES" w:eastAsia="es-ES"/>
        </w:rPr>
        <w:t xml:space="preserve">, los </w:t>
      </w:r>
      <w:r w:rsidR="00A776D0" w:rsidRPr="005751AA">
        <w:rPr>
          <w:b/>
          <w:bCs/>
          <w:color w:val="auto"/>
          <w:lang w:val="es-ES" w:eastAsia="es-ES"/>
        </w:rPr>
        <w:t>sistemas de irrigación</w:t>
      </w:r>
      <w:r w:rsidR="00A776D0" w:rsidRPr="005751AA">
        <w:rPr>
          <w:color w:val="auto"/>
          <w:lang w:val="es-ES" w:eastAsia="es-ES"/>
        </w:rPr>
        <w:t xml:space="preserve">, la </w:t>
      </w:r>
      <w:r w:rsidR="00A776D0" w:rsidRPr="005751AA">
        <w:rPr>
          <w:b/>
          <w:bCs/>
          <w:color w:val="auto"/>
          <w:lang w:val="es-ES" w:eastAsia="es-ES"/>
        </w:rPr>
        <w:t>prevención de las inundaciones</w:t>
      </w:r>
      <w:r w:rsidR="00A776D0" w:rsidRPr="005751AA">
        <w:rPr>
          <w:color w:val="auto"/>
          <w:lang w:val="es-ES" w:eastAsia="es-ES"/>
        </w:rPr>
        <w:t xml:space="preserve"> y los </w:t>
      </w:r>
      <w:r w:rsidR="00A776D0" w:rsidRPr="005751AA">
        <w:rPr>
          <w:b/>
          <w:bCs/>
          <w:color w:val="auto"/>
          <w:lang w:val="es-ES" w:eastAsia="es-ES"/>
        </w:rPr>
        <w:t>sistemas de desalinización</w:t>
      </w:r>
      <w:r w:rsidR="00A776D0" w:rsidRPr="005751AA">
        <w:rPr>
          <w:color w:val="auto"/>
          <w:lang w:val="es-ES" w:eastAsia="es-ES"/>
        </w:rPr>
        <w:t>.</w:t>
      </w:r>
    </w:p>
    <w:p w14:paraId="11AA928A" w14:textId="751C669E" w:rsidR="00503D96" w:rsidRDefault="00503D96" w:rsidP="00503D96">
      <w:pPr>
        <w:pStyle w:val="Ttulo3"/>
      </w:pPr>
      <w:bookmarkStart w:id="21" w:name="_Toc148363700"/>
      <w:r>
        <w:t>Redes de abastecimiento</w:t>
      </w:r>
      <w:bookmarkEnd w:id="21"/>
    </w:p>
    <w:p w14:paraId="16A2A5EC" w14:textId="0564747D" w:rsidR="005751AA" w:rsidRPr="005751AA" w:rsidRDefault="005751AA" w:rsidP="005751AA">
      <w:pPr>
        <w:rPr>
          <w:color w:val="auto"/>
          <w:lang w:eastAsia="es-ES"/>
        </w:rPr>
      </w:pPr>
      <w:r w:rsidRPr="005751AA">
        <w:rPr>
          <w:color w:val="auto"/>
          <w:lang w:eastAsia="es-ES"/>
        </w:rPr>
        <w:t xml:space="preserve">El abastecimiento de agua en Croacia ha evidenciado un </w:t>
      </w:r>
      <w:r w:rsidRPr="005751AA">
        <w:rPr>
          <w:b/>
          <w:bCs/>
          <w:color w:val="auto"/>
          <w:lang w:eastAsia="es-ES"/>
        </w:rPr>
        <w:t>crecimiento sostenido</w:t>
      </w:r>
      <w:r w:rsidRPr="005751AA">
        <w:rPr>
          <w:color w:val="auto"/>
          <w:lang w:eastAsia="es-ES"/>
        </w:rPr>
        <w:t xml:space="preserve">, si bien </w:t>
      </w:r>
      <w:r w:rsidRPr="005751AA">
        <w:rPr>
          <w:b/>
          <w:bCs/>
          <w:color w:val="auto"/>
          <w:lang w:eastAsia="es-ES"/>
        </w:rPr>
        <w:t>modesto</w:t>
      </w:r>
      <w:r w:rsidRPr="005751AA">
        <w:rPr>
          <w:color w:val="auto"/>
          <w:lang w:eastAsia="es-ES"/>
        </w:rPr>
        <w:t xml:space="preserve">, a lo largo de los años, evidenciando el compromiso del país con la mejora de su infraestructura hídrica. En </w:t>
      </w:r>
      <w:r w:rsidRPr="00DF5B76">
        <w:rPr>
          <w:b/>
          <w:bCs/>
          <w:color w:val="auto"/>
          <w:lang w:eastAsia="es-ES"/>
        </w:rPr>
        <w:t>2022</w:t>
      </w:r>
      <w:r w:rsidRPr="005751AA">
        <w:rPr>
          <w:color w:val="auto"/>
          <w:lang w:eastAsia="es-ES"/>
        </w:rPr>
        <w:t>, se registró que</w:t>
      </w:r>
      <w:r w:rsidR="00885816">
        <w:rPr>
          <w:color w:val="auto"/>
          <w:lang w:eastAsia="es-ES"/>
        </w:rPr>
        <w:t>, de un total de 6.757 asentamientos</w:t>
      </w:r>
      <w:r w:rsidR="00885816">
        <w:rPr>
          <w:rStyle w:val="Refdenotaalpie"/>
          <w:lang w:eastAsia="es-ES"/>
        </w:rPr>
        <w:footnoteReference w:id="17"/>
      </w:r>
      <w:r w:rsidR="00885816">
        <w:rPr>
          <w:color w:val="auto"/>
          <w:lang w:eastAsia="es-ES"/>
        </w:rPr>
        <w:t>,</w:t>
      </w:r>
      <w:r w:rsidRPr="005751AA">
        <w:rPr>
          <w:color w:val="auto"/>
          <w:lang w:eastAsia="es-ES"/>
        </w:rPr>
        <w:t xml:space="preserve"> 5.450 asentamientos estaban conectados a la red pública de agua, marcando un </w:t>
      </w:r>
      <w:r w:rsidRPr="005751AA">
        <w:rPr>
          <w:b/>
          <w:bCs/>
          <w:color w:val="auto"/>
          <w:lang w:eastAsia="es-ES"/>
        </w:rPr>
        <w:t xml:space="preserve">incremento del </w:t>
      </w:r>
      <w:r w:rsidRPr="00A04252">
        <w:rPr>
          <w:b/>
          <w:bCs/>
          <w:color w:val="auto"/>
          <w:lang w:eastAsia="es-ES"/>
        </w:rPr>
        <w:t>0</w:t>
      </w:r>
      <w:r w:rsidR="00A04252">
        <w:rPr>
          <w:b/>
          <w:bCs/>
          <w:color w:val="auto"/>
          <w:lang w:eastAsia="es-ES"/>
        </w:rPr>
        <w:t>,</w:t>
      </w:r>
      <w:r w:rsidRPr="00A04252">
        <w:rPr>
          <w:b/>
          <w:bCs/>
          <w:color w:val="auto"/>
          <w:lang w:eastAsia="es-ES"/>
        </w:rPr>
        <w:t>5</w:t>
      </w:r>
      <w:r w:rsidR="00D0081F" w:rsidRPr="00A04252">
        <w:rPr>
          <w:b/>
          <w:bCs/>
          <w:color w:val="auto"/>
          <w:lang w:eastAsia="es-ES"/>
        </w:rPr>
        <w:t xml:space="preserve"> </w:t>
      </w:r>
      <w:r w:rsidRPr="00A04252">
        <w:rPr>
          <w:b/>
          <w:bCs/>
          <w:color w:val="auto"/>
          <w:lang w:eastAsia="es-ES"/>
        </w:rPr>
        <w:t>%</w:t>
      </w:r>
      <w:r w:rsidRPr="005751AA">
        <w:rPr>
          <w:b/>
          <w:bCs/>
          <w:color w:val="auto"/>
          <w:lang w:eastAsia="es-ES"/>
        </w:rPr>
        <w:t xml:space="preserve"> desde 2020</w:t>
      </w:r>
      <w:r w:rsidRPr="005751AA">
        <w:rPr>
          <w:color w:val="auto"/>
          <w:lang w:eastAsia="es-ES"/>
        </w:rPr>
        <w:t xml:space="preserve"> cuando la cifra se situaba en 5.422. </w:t>
      </w:r>
      <w:r w:rsidR="00500959" w:rsidRPr="00500959">
        <w:rPr>
          <w:color w:val="auto"/>
          <w:lang w:eastAsia="es-ES"/>
        </w:rPr>
        <w:t xml:space="preserve">Durante este período de dos años, </w:t>
      </w:r>
      <w:r w:rsidR="00500959">
        <w:rPr>
          <w:color w:val="auto"/>
          <w:lang w:eastAsia="es-ES"/>
        </w:rPr>
        <w:t>l</w:t>
      </w:r>
      <w:r w:rsidRPr="005751AA">
        <w:rPr>
          <w:color w:val="auto"/>
          <w:lang w:eastAsia="es-ES"/>
        </w:rPr>
        <w:t xml:space="preserve">a </w:t>
      </w:r>
      <w:r w:rsidR="00500959">
        <w:rPr>
          <w:color w:val="auto"/>
          <w:lang w:eastAsia="es-ES"/>
        </w:rPr>
        <w:t xml:space="preserve">extensión de la </w:t>
      </w:r>
      <w:r w:rsidRPr="005751AA">
        <w:rPr>
          <w:b/>
          <w:bCs/>
          <w:color w:val="auto"/>
          <w:lang w:eastAsia="es-ES"/>
        </w:rPr>
        <w:t>red de abastecimiento público</w:t>
      </w:r>
      <w:r w:rsidRPr="005751AA">
        <w:rPr>
          <w:color w:val="auto"/>
          <w:lang w:eastAsia="es-ES"/>
        </w:rPr>
        <w:t xml:space="preserve"> </w:t>
      </w:r>
      <w:r w:rsidR="00500959">
        <w:rPr>
          <w:color w:val="auto"/>
          <w:lang w:eastAsia="es-ES"/>
        </w:rPr>
        <w:t>aumentó</w:t>
      </w:r>
      <w:r w:rsidRPr="005751AA">
        <w:rPr>
          <w:color w:val="auto"/>
          <w:lang w:eastAsia="es-ES"/>
        </w:rPr>
        <w:t xml:space="preserve"> en 1.656 km, alcanzando una longitud total de </w:t>
      </w:r>
      <w:r w:rsidRPr="005751AA">
        <w:rPr>
          <w:b/>
          <w:bCs/>
          <w:color w:val="auto"/>
          <w:lang w:eastAsia="es-ES"/>
        </w:rPr>
        <w:t>48.306 km</w:t>
      </w:r>
      <w:r w:rsidRPr="005751AA">
        <w:rPr>
          <w:color w:val="auto"/>
          <w:lang w:eastAsia="es-ES"/>
        </w:rPr>
        <w:t>.</w:t>
      </w:r>
      <w:r w:rsidR="00966BC7">
        <w:rPr>
          <w:rStyle w:val="Refdenotaalpie"/>
          <w:lang w:eastAsia="es-ES"/>
        </w:rPr>
        <w:footnoteReference w:id="18"/>
      </w:r>
    </w:p>
    <w:p w14:paraId="78C3FFBC" w14:textId="01F03B81" w:rsidR="005751AA" w:rsidRPr="005751AA" w:rsidRDefault="005751AA" w:rsidP="005751AA">
      <w:pPr>
        <w:rPr>
          <w:color w:val="auto"/>
          <w:lang w:eastAsia="es-ES"/>
        </w:rPr>
      </w:pPr>
      <w:r w:rsidRPr="005751AA">
        <w:rPr>
          <w:color w:val="auto"/>
          <w:lang w:eastAsia="es-ES"/>
        </w:rPr>
        <w:t>Este aumento gradual subraya los esfuerzos de Croacia por optimizar la utilización de sus recursos hídricos, garantizar el acceso al agua a toda su población y adaptarse a las normativas y expectativas de la Unión Europea.</w:t>
      </w:r>
    </w:p>
    <w:p w14:paraId="3B821DA8" w14:textId="01A3B618" w:rsidR="00FE0847" w:rsidRPr="005751AA" w:rsidRDefault="00FE0847" w:rsidP="005751AA">
      <w:pPr>
        <w:rPr>
          <w:color w:val="auto"/>
          <w:lang w:eastAsia="es-ES"/>
        </w:rPr>
      </w:pPr>
      <w:bookmarkStart w:id="22" w:name="_Hlk144048605"/>
      <w:r w:rsidRPr="005751AA">
        <w:rPr>
          <w:color w:val="auto"/>
          <w:lang w:eastAsia="es-ES"/>
        </w:rPr>
        <w:t xml:space="preserve">No obstante, a pesar de los avances, persisten </w:t>
      </w:r>
      <w:r w:rsidRPr="0099138B">
        <w:rPr>
          <w:b/>
          <w:bCs/>
          <w:color w:val="auto"/>
          <w:lang w:eastAsia="es-ES"/>
        </w:rPr>
        <w:t>desafíos significativos</w:t>
      </w:r>
      <w:r w:rsidRPr="005751AA">
        <w:rPr>
          <w:color w:val="auto"/>
          <w:lang w:eastAsia="es-ES"/>
        </w:rPr>
        <w:t xml:space="preserve"> en </w:t>
      </w:r>
      <w:r w:rsidR="00D97B18">
        <w:rPr>
          <w:color w:val="auto"/>
          <w:lang w:eastAsia="es-ES"/>
        </w:rPr>
        <w:t>cuanto al</w:t>
      </w:r>
      <w:r w:rsidRPr="005751AA">
        <w:rPr>
          <w:color w:val="auto"/>
          <w:lang w:eastAsia="es-ES"/>
        </w:rPr>
        <w:t xml:space="preserve"> abastecimiento de agua en Croacia. </w:t>
      </w:r>
      <w:r w:rsidRPr="0099138B">
        <w:rPr>
          <w:color w:val="auto"/>
          <w:lang w:eastAsia="es-ES"/>
        </w:rPr>
        <w:t>La red de distribución necesita</w:t>
      </w:r>
      <w:r w:rsidRPr="00FE0847">
        <w:rPr>
          <w:color w:val="auto"/>
          <w:lang w:eastAsia="es-ES"/>
        </w:rPr>
        <w:t xml:space="preserve"> </w:t>
      </w:r>
      <w:r w:rsidRPr="00FE0847">
        <w:rPr>
          <w:b/>
          <w:bCs/>
          <w:color w:val="auto"/>
          <w:lang w:eastAsia="es-ES"/>
        </w:rPr>
        <w:t>actualizaciones</w:t>
      </w:r>
      <w:r w:rsidRPr="00FE0847">
        <w:rPr>
          <w:color w:val="auto"/>
          <w:lang w:eastAsia="es-ES"/>
        </w:rPr>
        <w:t xml:space="preserve"> tanto para cumplir con los estándares europeos como para </w:t>
      </w:r>
      <w:r w:rsidRPr="00FE0847">
        <w:rPr>
          <w:b/>
          <w:bCs/>
          <w:color w:val="auto"/>
          <w:lang w:eastAsia="es-ES"/>
        </w:rPr>
        <w:t>extender su alcance</w:t>
      </w:r>
      <w:r w:rsidRPr="00FE0847">
        <w:rPr>
          <w:color w:val="auto"/>
          <w:lang w:eastAsia="es-ES"/>
        </w:rPr>
        <w:t xml:space="preserve"> y abarcar a un mayor segmento de la población, especialmente en las áreas rurales. Además, en regiones como la costa de Dalmacia, las intensas precipitaciones pueden temporalmente comprometer la </w:t>
      </w:r>
      <w:r w:rsidRPr="00EF0BF6">
        <w:rPr>
          <w:b/>
          <w:bCs/>
          <w:color w:val="auto"/>
          <w:lang w:eastAsia="es-ES"/>
        </w:rPr>
        <w:t>calidad del agua</w:t>
      </w:r>
      <w:r w:rsidRPr="00FE0847">
        <w:rPr>
          <w:color w:val="auto"/>
          <w:lang w:eastAsia="es-ES"/>
        </w:rPr>
        <w:t xml:space="preserve">. </w:t>
      </w:r>
      <w:r w:rsidR="00D97B18">
        <w:rPr>
          <w:color w:val="auto"/>
          <w:lang w:eastAsia="es-ES"/>
        </w:rPr>
        <w:t>De igual modo, e</w:t>
      </w:r>
      <w:r w:rsidRPr="00FE0847">
        <w:rPr>
          <w:color w:val="auto"/>
          <w:lang w:eastAsia="es-ES"/>
        </w:rPr>
        <w:t xml:space="preserve">n lugares como Eslavonia, resulta imperativo establecer plantas </w:t>
      </w:r>
      <w:r>
        <w:rPr>
          <w:color w:val="auto"/>
          <w:lang w:eastAsia="es-ES"/>
        </w:rPr>
        <w:t>depuradoras</w:t>
      </w:r>
      <w:r w:rsidRPr="00FE0847">
        <w:rPr>
          <w:color w:val="auto"/>
          <w:lang w:eastAsia="es-ES"/>
        </w:rPr>
        <w:t xml:space="preserve"> para garantizar la potabilidad del </w:t>
      </w:r>
      <w:r>
        <w:rPr>
          <w:color w:val="auto"/>
          <w:lang w:eastAsia="es-ES"/>
        </w:rPr>
        <w:t>agua</w:t>
      </w:r>
      <w:r w:rsidR="00EF0BF6">
        <w:rPr>
          <w:color w:val="auto"/>
          <w:lang w:eastAsia="es-ES"/>
        </w:rPr>
        <w:t>.</w:t>
      </w:r>
    </w:p>
    <w:bookmarkEnd w:id="22"/>
    <w:p w14:paraId="58D5A864" w14:textId="7A05C865" w:rsidR="005751AA" w:rsidRPr="005751AA" w:rsidRDefault="005751AA" w:rsidP="005751AA">
      <w:pPr>
        <w:rPr>
          <w:color w:val="auto"/>
          <w:lang w:eastAsia="es-ES"/>
        </w:rPr>
      </w:pPr>
      <w:r w:rsidRPr="005751AA">
        <w:rPr>
          <w:color w:val="auto"/>
          <w:lang w:eastAsia="es-ES"/>
        </w:rPr>
        <w:t xml:space="preserve">Además, a pesar de que el consumo de agua del grifo es una práctica extendida en el país, Croacia enfrenta el desafío de la </w:t>
      </w:r>
      <w:r w:rsidRPr="00E9374C">
        <w:rPr>
          <w:b/>
          <w:bCs/>
          <w:color w:val="auto"/>
          <w:lang w:eastAsia="es-ES"/>
        </w:rPr>
        <w:t>descalcificación</w:t>
      </w:r>
      <w:r w:rsidRPr="005751AA">
        <w:rPr>
          <w:color w:val="auto"/>
          <w:lang w:eastAsia="es-ES"/>
        </w:rPr>
        <w:t xml:space="preserve">, debido a la alta presencia de cal en el agua. Agravando la situación, el suministro público de agua presenta un </w:t>
      </w:r>
      <w:r w:rsidRPr="0099138B">
        <w:rPr>
          <w:b/>
          <w:bCs/>
          <w:color w:val="auto"/>
          <w:lang w:eastAsia="es-ES"/>
        </w:rPr>
        <w:t>índice de pérdida del 4</w:t>
      </w:r>
      <w:r w:rsidR="006F2DCF">
        <w:rPr>
          <w:b/>
          <w:bCs/>
          <w:color w:val="auto"/>
          <w:lang w:eastAsia="es-ES"/>
        </w:rPr>
        <w:t>0,5</w:t>
      </w:r>
      <w:r w:rsidR="00D0081F">
        <w:rPr>
          <w:b/>
          <w:bCs/>
          <w:color w:val="auto"/>
          <w:lang w:eastAsia="es-ES"/>
        </w:rPr>
        <w:t xml:space="preserve"> </w:t>
      </w:r>
      <w:r w:rsidRPr="0099138B">
        <w:rPr>
          <w:b/>
          <w:bCs/>
          <w:color w:val="auto"/>
          <w:lang w:eastAsia="es-ES"/>
        </w:rPr>
        <w:t>%</w:t>
      </w:r>
      <w:r w:rsidRPr="005751AA">
        <w:rPr>
          <w:color w:val="auto"/>
          <w:lang w:eastAsia="es-ES"/>
        </w:rPr>
        <w:t>, lo que</w:t>
      </w:r>
      <w:r w:rsidR="0099138B">
        <w:rPr>
          <w:color w:val="auto"/>
          <w:lang w:eastAsia="es-ES"/>
        </w:rPr>
        <w:t xml:space="preserve"> también</w:t>
      </w:r>
      <w:r w:rsidRPr="005751AA">
        <w:rPr>
          <w:color w:val="auto"/>
          <w:lang w:eastAsia="es-ES"/>
        </w:rPr>
        <w:t xml:space="preserve"> </w:t>
      </w:r>
      <w:r w:rsidRPr="005751AA">
        <w:rPr>
          <w:color w:val="auto"/>
          <w:lang w:eastAsia="es-ES"/>
        </w:rPr>
        <w:lastRenderedPageBreak/>
        <w:t xml:space="preserve">se traduce en pérdidas económicas. </w:t>
      </w:r>
      <w:r w:rsidRPr="00A04252">
        <w:rPr>
          <w:color w:val="auto"/>
          <w:lang w:eastAsia="es-ES"/>
        </w:rPr>
        <w:t>Esta cifra alarmante puede atribuirse al estado de deterioro de las tuberías, juntas, válvulas y conexiones, producto de su antigüedad, construcción de baja calidad o insuficiente mantenimiento</w:t>
      </w:r>
      <w:r w:rsidRPr="005751AA">
        <w:rPr>
          <w:color w:val="auto"/>
          <w:lang w:eastAsia="es-ES"/>
        </w:rPr>
        <w:t xml:space="preserve">. Concretamente, Zagreb es un caso representativo. Su sistema de abastecimiento, construido hace cerca de cuarenta años </w:t>
      </w:r>
      <w:r w:rsidR="0099138B">
        <w:rPr>
          <w:color w:val="auto"/>
          <w:lang w:eastAsia="es-ES"/>
        </w:rPr>
        <w:t>(anterior a</w:t>
      </w:r>
      <w:r w:rsidRPr="005751AA">
        <w:rPr>
          <w:color w:val="auto"/>
          <w:lang w:eastAsia="es-ES"/>
        </w:rPr>
        <w:t xml:space="preserve"> la guerra</w:t>
      </w:r>
      <w:r w:rsidR="0099138B">
        <w:rPr>
          <w:color w:val="auto"/>
          <w:lang w:eastAsia="es-ES"/>
        </w:rPr>
        <w:t>)</w:t>
      </w:r>
      <w:r w:rsidRPr="005751AA">
        <w:rPr>
          <w:color w:val="auto"/>
          <w:lang w:eastAsia="es-ES"/>
        </w:rPr>
        <w:t>, muestra signos evidentes de desgaste. En particular, en algunas áreas de la ciudad con variaciones de altitud, el agua debe ser bombeada a diferentes presiones. Las antiguas tuberías no resisten estos cambios de presión y frecuentemente resultan dañadas o incluso rotas</w:t>
      </w:r>
      <w:r w:rsidR="003E000B">
        <w:rPr>
          <w:color w:val="auto"/>
          <w:lang w:eastAsia="es-ES"/>
        </w:rPr>
        <w:t>.</w:t>
      </w:r>
    </w:p>
    <w:p w14:paraId="3FC8683C" w14:textId="0AA274A9" w:rsidR="00E6042D" w:rsidRPr="00DE02E3" w:rsidRDefault="00E6042D" w:rsidP="00E6042D">
      <w:pPr>
        <w:rPr>
          <w:color w:val="auto"/>
          <w:lang w:val="es-ES" w:eastAsia="es-ES"/>
        </w:rPr>
      </w:pPr>
      <w:r w:rsidRPr="00C3173C">
        <w:rPr>
          <w:color w:val="auto"/>
          <w:lang w:val="es-ES" w:eastAsia="es-ES"/>
        </w:rPr>
        <w:t xml:space="preserve">A continuación, se puede observar </w:t>
      </w:r>
      <w:r w:rsidR="0099138B" w:rsidRPr="00C3173C">
        <w:rPr>
          <w:color w:val="auto"/>
          <w:lang w:val="es-ES" w:eastAsia="es-ES"/>
        </w:rPr>
        <w:t>una tabla</w:t>
      </w:r>
      <w:r w:rsidR="00903845">
        <w:rPr>
          <w:color w:val="auto"/>
          <w:lang w:val="es-ES" w:eastAsia="es-ES"/>
        </w:rPr>
        <w:t xml:space="preserve"> </w:t>
      </w:r>
      <w:r w:rsidRPr="00C3173C">
        <w:rPr>
          <w:color w:val="auto"/>
          <w:lang w:val="es-ES" w:eastAsia="es-ES"/>
        </w:rPr>
        <w:t xml:space="preserve">con los datos </w:t>
      </w:r>
      <w:r w:rsidR="00C3173C" w:rsidRPr="00C3173C">
        <w:rPr>
          <w:color w:val="auto"/>
          <w:lang w:val="es-ES" w:eastAsia="es-ES"/>
        </w:rPr>
        <w:t xml:space="preserve">del suministro de la red pública de agua por tipo de fuente, el </w:t>
      </w:r>
      <w:r w:rsidR="00734340">
        <w:rPr>
          <w:color w:val="auto"/>
          <w:lang w:val="es-ES" w:eastAsia="es-ES"/>
        </w:rPr>
        <w:t>v</w:t>
      </w:r>
      <w:r w:rsidR="00C3173C" w:rsidRPr="00C3173C">
        <w:rPr>
          <w:color w:val="auto"/>
          <w:lang w:val="es-ES" w:eastAsia="es-ES"/>
        </w:rPr>
        <w:t>olumen de agua total extraído y el volumen</w:t>
      </w:r>
      <w:r w:rsidR="00C3173C">
        <w:rPr>
          <w:color w:val="auto"/>
          <w:lang w:val="es-ES" w:eastAsia="es-ES"/>
        </w:rPr>
        <w:t xml:space="preserve"> total de pérdidas de agua</w:t>
      </w:r>
      <w:r w:rsidR="00903845">
        <w:rPr>
          <w:color w:val="auto"/>
          <w:lang w:val="es-ES" w:eastAsia="es-ES"/>
        </w:rPr>
        <w:t xml:space="preserve"> de los últimos cuatro años.</w:t>
      </w:r>
    </w:p>
    <w:p w14:paraId="60E4B09E" w14:textId="7002F4C1" w:rsidR="006F2DCF" w:rsidRDefault="008631C6" w:rsidP="006F2DCF">
      <w:pPr>
        <w:pStyle w:val="TtuloTablas"/>
      </w:pPr>
      <w:r>
        <w:t>TABLa</w:t>
      </w:r>
      <w:r w:rsidR="00B46777">
        <w:t xml:space="preserve"> </w:t>
      </w:r>
      <w:r w:rsidR="00530B29">
        <w:t>3</w:t>
      </w:r>
      <w:r w:rsidR="00B46777">
        <w:t>:</w:t>
      </w:r>
      <w:r>
        <w:t xml:space="preserve"> </w:t>
      </w:r>
      <w:r w:rsidR="00903845">
        <w:t>SUMINISTRO DEL SISTEMA PÚBLICO DE ABASTECIMIENTO DE AGUA, 2019-2022</w:t>
      </w:r>
    </w:p>
    <w:p w14:paraId="4B6EBD90" w14:textId="7E8B7A49" w:rsidR="006F2DCF" w:rsidRPr="006F2DCF" w:rsidRDefault="006F2DCF" w:rsidP="003E000B">
      <w:pPr>
        <w:pStyle w:val="Subttuloparatablasygrficos"/>
        <w:spacing w:after="0"/>
      </w:pPr>
      <w:r>
        <w:t>(en miles de m</w:t>
      </w:r>
      <w:r>
        <w:rPr>
          <w:vertAlign w:val="superscript"/>
        </w:rPr>
        <w:t>3</w:t>
      </w:r>
      <w:r>
        <w:t>)</w:t>
      </w:r>
    </w:p>
    <w:tbl>
      <w:tblPr>
        <w:tblStyle w:val="Tabladelista2-nfasis1"/>
        <w:tblW w:w="4992" w:type="pct"/>
        <w:tblLook w:val="0620" w:firstRow="1" w:lastRow="0" w:firstColumn="0" w:lastColumn="0" w:noHBand="1" w:noVBand="1"/>
      </w:tblPr>
      <w:tblGrid>
        <w:gridCol w:w="2543"/>
        <w:gridCol w:w="1841"/>
        <w:gridCol w:w="1696"/>
        <w:gridCol w:w="1979"/>
        <w:gridCol w:w="1558"/>
      </w:tblGrid>
      <w:tr w:rsidR="0085713E" w14:paraId="36506B94" w14:textId="28DC93BF" w:rsidTr="006D3C1D">
        <w:trPr>
          <w:cnfStyle w:val="100000000000" w:firstRow="1" w:lastRow="0" w:firstColumn="0" w:lastColumn="0" w:oddVBand="0" w:evenVBand="0" w:oddHBand="0" w:evenHBand="0" w:firstRowFirstColumn="0" w:firstRowLastColumn="0" w:lastRowFirstColumn="0" w:lastRowLastColumn="0"/>
          <w:trHeight w:val="227"/>
        </w:trPr>
        <w:tc>
          <w:tcPr>
            <w:tcW w:w="1322" w:type="pct"/>
            <w:tcBorders>
              <w:top w:val="nil"/>
              <w:bottom w:val="single" w:sz="12" w:space="0" w:color="E2231A" w:themeColor="accent1"/>
            </w:tcBorders>
            <w:vAlign w:val="center"/>
          </w:tcPr>
          <w:p w14:paraId="0870D1F1" w14:textId="768347DF" w:rsidR="006F2DCF" w:rsidRPr="00985E31" w:rsidRDefault="006F2DCF" w:rsidP="006D3C1D">
            <w:pPr>
              <w:pStyle w:val="Rango1Tablas"/>
              <w:spacing w:line="276" w:lineRule="auto"/>
              <w:jc w:val="center"/>
              <w:rPr>
                <w:rFonts w:cstheme="minorHAnsi"/>
                <w:vertAlign w:val="superscript"/>
              </w:rPr>
            </w:pPr>
          </w:p>
        </w:tc>
        <w:tc>
          <w:tcPr>
            <w:tcW w:w="957" w:type="pct"/>
            <w:tcBorders>
              <w:top w:val="nil"/>
              <w:bottom w:val="single" w:sz="12" w:space="0" w:color="E2231A" w:themeColor="accent1"/>
            </w:tcBorders>
            <w:vAlign w:val="center"/>
          </w:tcPr>
          <w:p w14:paraId="1C72F08D" w14:textId="5137A361" w:rsidR="006F2DCF" w:rsidRPr="00985E31" w:rsidRDefault="006F2DCF" w:rsidP="006D3C1D">
            <w:pPr>
              <w:pStyle w:val="Rango1Tablas"/>
              <w:spacing w:line="276" w:lineRule="auto"/>
              <w:jc w:val="center"/>
              <w:rPr>
                <w:rFonts w:cstheme="minorHAnsi"/>
              </w:rPr>
            </w:pPr>
            <w:r w:rsidRPr="00985E31">
              <w:rPr>
                <w:rFonts w:cstheme="minorHAnsi"/>
              </w:rPr>
              <w:t>2019</w:t>
            </w:r>
          </w:p>
        </w:tc>
        <w:tc>
          <w:tcPr>
            <w:tcW w:w="882" w:type="pct"/>
            <w:tcBorders>
              <w:top w:val="nil"/>
              <w:bottom w:val="single" w:sz="12" w:space="0" w:color="E2231A" w:themeColor="accent1"/>
            </w:tcBorders>
            <w:vAlign w:val="center"/>
          </w:tcPr>
          <w:p w14:paraId="6B32B781" w14:textId="3A8B49CF" w:rsidR="006F2DCF" w:rsidRPr="00985E31" w:rsidRDefault="006F2DCF" w:rsidP="006D3C1D">
            <w:pPr>
              <w:pStyle w:val="Rango1Tablas"/>
              <w:spacing w:line="276" w:lineRule="auto"/>
              <w:jc w:val="center"/>
              <w:rPr>
                <w:rFonts w:cstheme="minorHAnsi"/>
              </w:rPr>
            </w:pPr>
            <w:r w:rsidRPr="00985E31">
              <w:rPr>
                <w:rFonts w:cstheme="minorHAnsi"/>
              </w:rPr>
              <w:t>2020</w:t>
            </w:r>
          </w:p>
        </w:tc>
        <w:tc>
          <w:tcPr>
            <w:tcW w:w="1029" w:type="pct"/>
            <w:tcBorders>
              <w:top w:val="nil"/>
              <w:bottom w:val="single" w:sz="12" w:space="0" w:color="E2231A" w:themeColor="accent1"/>
            </w:tcBorders>
            <w:vAlign w:val="center"/>
          </w:tcPr>
          <w:p w14:paraId="6741EEF5" w14:textId="7458415C" w:rsidR="006F2DCF" w:rsidRPr="00985E31" w:rsidRDefault="006F2DCF" w:rsidP="006D3C1D">
            <w:pPr>
              <w:pStyle w:val="Rango1Tablas"/>
              <w:spacing w:line="276" w:lineRule="auto"/>
              <w:jc w:val="center"/>
              <w:rPr>
                <w:rFonts w:cstheme="minorHAnsi"/>
              </w:rPr>
            </w:pPr>
            <w:r w:rsidRPr="00985E31">
              <w:rPr>
                <w:rFonts w:cstheme="minorHAnsi"/>
              </w:rPr>
              <w:t>2021</w:t>
            </w:r>
          </w:p>
        </w:tc>
        <w:tc>
          <w:tcPr>
            <w:tcW w:w="810" w:type="pct"/>
            <w:tcBorders>
              <w:top w:val="nil"/>
              <w:bottom w:val="single" w:sz="12" w:space="0" w:color="E2231A" w:themeColor="accent1"/>
            </w:tcBorders>
            <w:vAlign w:val="center"/>
          </w:tcPr>
          <w:p w14:paraId="311CCCD2" w14:textId="3632A45E" w:rsidR="006F2DCF" w:rsidRPr="00985E31" w:rsidRDefault="006F2DCF" w:rsidP="006D3C1D">
            <w:pPr>
              <w:pStyle w:val="Rango1Tablas"/>
              <w:spacing w:line="276" w:lineRule="auto"/>
              <w:jc w:val="center"/>
              <w:rPr>
                <w:rFonts w:cstheme="minorHAnsi"/>
              </w:rPr>
            </w:pPr>
            <w:r w:rsidRPr="00985E31">
              <w:rPr>
                <w:rFonts w:cstheme="minorHAnsi"/>
              </w:rPr>
              <w:t>2022</w:t>
            </w:r>
          </w:p>
        </w:tc>
      </w:tr>
      <w:tr w:rsidR="0085713E" w14:paraId="30F9EE1E" w14:textId="38EA643D" w:rsidTr="006D3C1D">
        <w:trPr>
          <w:trHeight w:val="227"/>
        </w:trPr>
        <w:tc>
          <w:tcPr>
            <w:tcW w:w="1322" w:type="pct"/>
            <w:shd w:val="clear" w:color="auto" w:fill="F9D2D0" w:themeFill="accent1" w:themeFillTint="33"/>
            <w:vAlign w:val="center"/>
          </w:tcPr>
          <w:p w14:paraId="463BD692" w14:textId="11A2EAFD" w:rsidR="006F2DCF" w:rsidRPr="00001F12" w:rsidRDefault="004F30CD" w:rsidP="002F76CC">
            <w:pPr>
              <w:pStyle w:val="DatosTabla"/>
              <w:jc w:val="left"/>
              <w:rPr>
                <w:rFonts w:asciiTheme="minorHAnsi" w:hAnsiTheme="minorHAnsi" w:cstheme="minorHAnsi"/>
                <w:b/>
                <w:bCs/>
                <w:szCs w:val="18"/>
              </w:rPr>
            </w:pPr>
            <w:r>
              <w:rPr>
                <w:rFonts w:asciiTheme="minorHAnsi" w:hAnsiTheme="minorHAnsi" w:cstheme="minorHAnsi"/>
                <w:b/>
                <w:bCs/>
                <w:szCs w:val="18"/>
              </w:rPr>
              <w:t>TOTAL</w:t>
            </w:r>
            <w:r w:rsidR="007716AD">
              <w:rPr>
                <w:rFonts w:asciiTheme="minorHAnsi" w:hAnsiTheme="minorHAnsi" w:cstheme="minorHAnsi"/>
                <w:b/>
                <w:bCs/>
                <w:szCs w:val="18"/>
              </w:rPr>
              <w:t xml:space="preserve"> EXTRAÍDO</w:t>
            </w:r>
          </w:p>
        </w:tc>
        <w:tc>
          <w:tcPr>
            <w:tcW w:w="957" w:type="pct"/>
            <w:shd w:val="clear" w:color="auto" w:fill="F9D2D0" w:themeFill="accent1" w:themeFillTint="33"/>
            <w:vAlign w:val="center"/>
          </w:tcPr>
          <w:p w14:paraId="3D8EB63E" w14:textId="78CC0EBE" w:rsidR="006F2DCF" w:rsidRPr="00001F12" w:rsidRDefault="0067452D" w:rsidP="002F76CC">
            <w:pPr>
              <w:pStyle w:val="DatosTabla"/>
              <w:jc w:val="center"/>
              <w:rPr>
                <w:rFonts w:asciiTheme="minorHAnsi" w:hAnsiTheme="minorHAnsi" w:cstheme="minorHAnsi"/>
                <w:b/>
                <w:bCs/>
                <w:szCs w:val="18"/>
              </w:rPr>
            </w:pPr>
            <w:r w:rsidRPr="00001F12">
              <w:rPr>
                <w:rFonts w:asciiTheme="minorHAnsi" w:hAnsiTheme="minorHAnsi" w:cstheme="minorHAnsi"/>
                <w:b/>
                <w:bCs/>
                <w:szCs w:val="18"/>
              </w:rPr>
              <w:t>504.692</w:t>
            </w:r>
          </w:p>
        </w:tc>
        <w:tc>
          <w:tcPr>
            <w:tcW w:w="882" w:type="pct"/>
            <w:shd w:val="clear" w:color="auto" w:fill="F9D2D0" w:themeFill="accent1" w:themeFillTint="33"/>
            <w:vAlign w:val="center"/>
          </w:tcPr>
          <w:p w14:paraId="00A375A9" w14:textId="40C62EEE" w:rsidR="006F2DCF" w:rsidRPr="00001F12" w:rsidRDefault="0067452D" w:rsidP="002F76CC">
            <w:pPr>
              <w:pStyle w:val="DatosTabla"/>
              <w:jc w:val="center"/>
              <w:rPr>
                <w:rFonts w:asciiTheme="minorHAnsi" w:hAnsiTheme="minorHAnsi" w:cstheme="minorHAnsi"/>
                <w:b/>
                <w:bCs/>
                <w:szCs w:val="18"/>
              </w:rPr>
            </w:pPr>
            <w:r w:rsidRPr="00001F12">
              <w:rPr>
                <w:rFonts w:asciiTheme="minorHAnsi" w:hAnsiTheme="minorHAnsi" w:cstheme="minorHAnsi"/>
                <w:b/>
                <w:bCs/>
                <w:szCs w:val="18"/>
              </w:rPr>
              <w:t>500.489</w:t>
            </w:r>
          </w:p>
        </w:tc>
        <w:tc>
          <w:tcPr>
            <w:tcW w:w="1029" w:type="pct"/>
            <w:shd w:val="clear" w:color="auto" w:fill="F9D2D0" w:themeFill="accent1" w:themeFillTint="33"/>
            <w:vAlign w:val="center"/>
          </w:tcPr>
          <w:p w14:paraId="1577C93D" w14:textId="14D84BDE" w:rsidR="006F2DCF" w:rsidRPr="00001F12" w:rsidRDefault="0067452D" w:rsidP="002F76CC">
            <w:pPr>
              <w:pStyle w:val="DatosTabla"/>
              <w:jc w:val="center"/>
              <w:rPr>
                <w:rFonts w:asciiTheme="minorHAnsi" w:hAnsiTheme="minorHAnsi" w:cstheme="minorHAnsi"/>
                <w:b/>
                <w:bCs/>
                <w:szCs w:val="18"/>
              </w:rPr>
            </w:pPr>
            <w:r w:rsidRPr="00001F12">
              <w:rPr>
                <w:rFonts w:asciiTheme="minorHAnsi" w:hAnsiTheme="minorHAnsi" w:cstheme="minorHAnsi"/>
                <w:b/>
                <w:bCs/>
                <w:szCs w:val="18"/>
              </w:rPr>
              <w:t>510.702</w:t>
            </w:r>
          </w:p>
        </w:tc>
        <w:tc>
          <w:tcPr>
            <w:tcW w:w="810" w:type="pct"/>
            <w:shd w:val="clear" w:color="auto" w:fill="F9D2D0" w:themeFill="accent1" w:themeFillTint="33"/>
            <w:vAlign w:val="center"/>
          </w:tcPr>
          <w:p w14:paraId="13144ABC" w14:textId="4B574C81" w:rsidR="006F2DCF" w:rsidRPr="00001F12" w:rsidRDefault="0067452D" w:rsidP="002F76CC">
            <w:pPr>
              <w:pStyle w:val="DatosTabla"/>
              <w:jc w:val="center"/>
              <w:rPr>
                <w:rFonts w:asciiTheme="minorHAnsi" w:hAnsiTheme="minorHAnsi" w:cstheme="minorHAnsi"/>
                <w:b/>
                <w:bCs/>
                <w:szCs w:val="18"/>
              </w:rPr>
            </w:pPr>
            <w:r w:rsidRPr="00001F12">
              <w:rPr>
                <w:rFonts w:asciiTheme="minorHAnsi" w:hAnsiTheme="minorHAnsi" w:cstheme="minorHAnsi"/>
                <w:b/>
                <w:bCs/>
                <w:szCs w:val="18"/>
              </w:rPr>
              <w:t>515.931</w:t>
            </w:r>
          </w:p>
        </w:tc>
      </w:tr>
      <w:tr w:rsidR="0085713E" w14:paraId="409E9DD3" w14:textId="0C83C838" w:rsidTr="006D3C1D">
        <w:trPr>
          <w:trHeight w:val="227"/>
        </w:trPr>
        <w:tc>
          <w:tcPr>
            <w:tcW w:w="1322" w:type="pct"/>
            <w:vAlign w:val="center"/>
          </w:tcPr>
          <w:p w14:paraId="7F30C598" w14:textId="205D68D9" w:rsidR="006F2DCF" w:rsidRPr="00001F12" w:rsidRDefault="006F2DCF" w:rsidP="002F76CC">
            <w:pPr>
              <w:pStyle w:val="DatosTabla"/>
              <w:jc w:val="left"/>
              <w:rPr>
                <w:rFonts w:asciiTheme="minorHAnsi" w:hAnsiTheme="minorHAnsi" w:cstheme="minorHAnsi"/>
                <w:szCs w:val="18"/>
              </w:rPr>
            </w:pPr>
            <w:r w:rsidRPr="00001F12">
              <w:rPr>
                <w:rFonts w:asciiTheme="minorHAnsi" w:hAnsiTheme="minorHAnsi" w:cstheme="minorHAnsi"/>
                <w:szCs w:val="18"/>
              </w:rPr>
              <w:t>Volumen de agua extraída</w:t>
            </w:r>
          </w:p>
        </w:tc>
        <w:tc>
          <w:tcPr>
            <w:tcW w:w="957" w:type="pct"/>
            <w:vAlign w:val="center"/>
          </w:tcPr>
          <w:p w14:paraId="369B2A6A" w14:textId="5A396F14" w:rsidR="006F2DCF" w:rsidRPr="00001F12" w:rsidRDefault="0067452D" w:rsidP="002F76CC">
            <w:pPr>
              <w:pStyle w:val="DatosTabla"/>
              <w:jc w:val="center"/>
              <w:rPr>
                <w:rFonts w:asciiTheme="minorHAnsi" w:hAnsiTheme="minorHAnsi" w:cstheme="minorHAnsi"/>
                <w:szCs w:val="18"/>
              </w:rPr>
            </w:pPr>
            <w:r w:rsidRPr="00001F12">
              <w:rPr>
                <w:rFonts w:asciiTheme="minorHAnsi" w:hAnsiTheme="minorHAnsi" w:cstheme="minorHAnsi"/>
                <w:szCs w:val="18"/>
              </w:rPr>
              <w:t>457.893</w:t>
            </w:r>
          </w:p>
        </w:tc>
        <w:tc>
          <w:tcPr>
            <w:tcW w:w="882" w:type="pct"/>
            <w:vAlign w:val="center"/>
          </w:tcPr>
          <w:p w14:paraId="0D194A1D" w14:textId="04AA636A" w:rsidR="006F2DCF" w:rsidRPr="00001F12" w:rsidRDefault="0067452D" w:rsidP="002F76CC">
            <w:pPr>
              <w:pStyle w:val="DatosTabla"/>
              <w:jc w:val="center"/>
              <w:rPr>
                <w:rFonts w:asciiTheme="minorHAnsi" w:hAnsiTheme="minorHAnsi" w:cstheme="minorHAnsi"/>
                <w:szCs w:val="18"/>
              </w:rPr>
            </w:pPr>
            <w:r w:rsidRPr="00001F12">
              <w:rPr>
                <w:rFonts w:asciiTheme="minorHAnsi" w:hAnsiTheme="minorHAnsi" w:cstheme="minorHAnsi"/>
                <w:szCs w:val="18"/>
              </w:rPr>
              <w:t>456.068</w:t>
            </w:r>
          </w:p>
        </w:tc>
        <w:tc>
          <w:tcPr>
            <w:tcW w:w="1029" w:type="pct"/>
            <w:vAlign w:val="center"/>
          </w:tcPr>
          <w:p w14:paraId="230DB48E" w14:textId="4E947351" w:rsidR="006F2DCF" w:rsidRPr="00001F12" w:rsidRDefault="0067452D" w:rsidP="002F76CC">
            <w:pPr>
              <w:pStyle w:val="DatosTabla"/>
              <w:jc w:val="center"/>
              <w:rPr>
                <w:rFonts w:asciiTheme="minorHAnsi" w:hAnsiTheme="minorHAnsi" w:cstheme="minorHAnsi"/>
                <w:szCs w:val="18"/>
              </w:rPr>
            </w:pPr>
            <w:r w:rsidRPr="00001F12">
              <w:rPr>
                <w:rFonts w:asciiTheme="minorHAnsi" w:hAnsiTheme="minorHAnsi" w:cstheme="minorHAnsi"/>
                <w:szCs w:val="18"/>
              </w:rPr>
              <w:t>456.741</w:t>
            </w:r>
          </w:p>
        </w:tc>
        <w:tc>
          <w:tcPr>
            <w:tcW w:w="810" w:type="pct"/>
            <w:vAlign w:val="center"/>
          </w:tcPr>
          <w:p w14:paraId="36A4CF7B" w14:textId="085C13F4" w:rsidR="006F2DCF" w:rsidRPr="00001F12" w:rsidRDefault="0067452D" w:rsidP="002F76CC">
            <w:pPr>
              <w:pStyle w:val="DatosTabla"/>
              <w:jc w:val="center"/>
              <w:rPr>
                <w:rFonts w:asciiTheme="minorHAnsi" w:hAnsiTheme="minorHAnsi" w:cstheme="minorHAnsi"/>
                <w:szCs w:val="18"/>
              </w:rPr>
            </w:pPr>
            <w:r w:rsidRPr="00001F12">
              <w:rPr>
                <w:rFonts w:asciiTheme="minorHAnsi" w:hAnsiTheme="minorHAnsi" w:cstheme="minorHAnsi"/>
                <w:szCs w:val="18"/>
              </w:rPr>
              <w:t>464.810</w:t>
            </w:r>
          </w:p>
        </w:tc>
      </w:tr>
      <w:tr w:rsidR="0085713E" w14:paraId="717A3033" w14:textId="77777777" w:rsidTr="006D3C1D">
        <w:trPr>
          <w:trHeight w:val="227"/>
        </w:trPr>
        <w:tc>
          <w:tcPr>
            <w:tcW w:w="1322" w:type="pct"/>
            <w:vAlign w:val="center"/>
          </w:tcPr>
          <w:p w14:paraId="203E5975" w14:textId="35A6D47B" w:rsidR="006F2DCF" w:rsidRPr="00001F12" w:rsidRDefault="006F2DCF" w:rsidP="008A2F26">
            <w:pPr>
              <w:pStyle w:val="DatosTabla"/>
              <w:numPr>
                <w:ilvl w:val="0"/>
                <w:numId w:val="27"/>
              </w:numPr>
              <w:jc w:val="left"/>
              <w:rPr>
                <w:rFonts w:asciiTheme="minorHAnsi" w:hAnsiTheme="minorHAnsi" w:cstheme="minorHAnsi"/>
                <w:szCs w:val="18"/>
              </w:rPr>
            </w:pPr>
            <w:r w:rsidRPr="00001F12">
              <w:rPr>
                <w:rFonts w:asciiTheme="minorHAnsi" w:hAnsiTheme="minorHAnsi" w:cstheme="minorHAnsi"/>
                <w:szCs w:val="18"/>
              </w:rPr>
              <w:t>Aguas subterráneas</w:t>
            </w:r>
          </w:p>
        </w:tc>
        <w:tc>
          <w:tcPr>
            <w:tcW w:w="957" w:type="pct"/>
            <w:vAlign w:val="center"/>
          </w:tcPr>
          <w:p w14:paraId="12FAAD88" w14:textId="7E1A0E8F" w:rsidR="006F2DCF" w:rsidRPr="00001F12" w:rsidRDefault="0067452D" w:rsidP="002F76CC">
            <w:pPr>
              <w:pStyle w:val="DatosTabla"/>
              <w:jc w:val="center"/>
              <w:rPr>
                <w:rFonts w:asciiTheme="minorHAnsi" w:hAnsiTheme="minorHAnsi" w:cstheme="minorHAnsi"/>
                <w:szCs w:val="18"/>
              </w:rPr>
            </w:pPr>
            <w:r w:rsidRPr="00001F12">
              <w:rPr>
                <w:rFonts w:asciiTheme="minorHAnsi" w:hAnsiTheme="minorHAnsi" w:cstheme="minorHAnsi"/>
                <w:szCs w:val="18"/>
              </w:rPr>
              <w:t>416.204</w:t>
            </w:r>
          </w:p>
        </w:tc>
        <w:tc>
          <w:tcPr>
            <w:tcW w:w="882" w:type="pct"/>
            <w:vAlign w:val="center"/>
          </w:tcPr>
          <w:p w14:paraId="35DFED95" w14:textId="1CB34816" w:rsidR="006F2DCF" w:rsidRPr="00001F12" w:rsidRDefault="0067452D" w:rsidP="002F76CC">
            <w:pPr>
              <w:pStyle w:val="DatosTabla"/>
              <w:jc w:val="center"/>
              <w:rPr>
                <w:rFonts w:asciiTheme="minorHAnsi" w:hAnsiTheme="minorHAnsi" w:cstheme="minorHAnsi"/>
                <w:szCs w:val="18"/>
              </w:rPr>
            </w:pPr>
            <w:r w:rsidRPr="00001F12">
              <w:rPr>
                <w:rFonts w:asciiTheme="minorHAnsi" w:hAnsiTheme="minorHAnsi" w:cstheme="minorHAnsi"/>
                <w:szCs w:val="18"/>
              </w:rPr>
              <w:t>414.350</w:t>
            </w:r>
          </w:p>
        </w:tc>
        <w:tc>
          <w:tcPr>
            <w:tcW w:w="1029" w:type="pct"/>
            <w:vAlign w:val="center"/>
          </w:tcPr>
          <w:p w14:paraId="6AAA494A" w14:textId="3E9EF068" w:rsidR="006F2DCF" w:rsidRPr="00001F12" w:rsidRDefault="0067452D" w:rsidP="002F76CC">
            <w:pPr>
              <w:pStyle w:val="DatosTabla"/>
              <w:jc w:val="center"/>
              <w:rPr>
                <w:rFonts w:asciiTheme="minorHAnsi" w:hAnsiTheme="minorHAnsi" w:cstheme="minorHAnsi"/>
                <w:szCs w:val="18"/>
              </w:rPr>
            </w:pPr>
            <w:r w:rsidRPr="00001F12">
              <w:rPr>
                <w:rFonts w:asciiTheme="minorHAnsi" w:hAnsiTheme="minorHAnsi" w:cstheme="minorHAnsi"/>
                <w:szCs w:val="18"/>
              </w:rPr>
              <w:t>406.295</w:t>
            </w:r>
          </w:p>
        </w:tc>
        <w:tc>
          <w:tcPr>
            <w:tcW w:w="810" w:type="pct"/>
            <w:vAlign w:val="center"/>
          </w:tcPr>
          <w:p w14:paraId="21CA85C2" w14:textId="6CA6F56E" w:rsidR="006F2DCF" w:rsidRPr="00001F12" w:rsidRDefault="0067452D" w:rsidP="002F76CC">
            <w:pPr>
              <w:pStyle w:val="DatosTabla"/>
              <w:jc w:val="center"/>
              <w:rPr>
                <w:rFonts w:asciiTheme="minorHAnsi" w:hAnsiTheme="minorHAnsi" w:cstheme="minorHAnsi"/>
                <w:szCs w:val="18"/>
              </w:rPr>
            </w:pPr>
            <w:r w:rsidRPr="00001F12">
              <w:rPr>
                <w:rFonts w:asciiTheme="minorHAnsi" w:hAnsiTheme="minorHAnsi" w:cstheme="minorHAnsi"/>
                <w:szCs w:val="18"/>
              </w:rPr>
              <w:t>415.299</w:t>
            </w:r>
          </w:p>
        </w:tc>
      </w:tr>
      <w:tr w:rsidR="0085713E" w14:paraId="6B71783B" w14:textId="77777777" w:rsidTr="006D3C1D">
        <w:trPr>
          <w:trHeight w:val="227"/>
        </w:trPr>
        <w:tc>
          <w:tcPr>
            <w:tcW w:w="1322" w:type="pct"/>
            <w:vAlign w:val="center"/>
          </w:tcPr>
          <w:p w14:paraId="1BCF4CB8" w14:textId="1174F70A" w:rsidR="006F2DCF" w:rsidRPr="00001F12" w:rsidRDefault="006F2DCF" w:rsidP="008A2F26">
            <w:pPr>
              <w:pStyle w:val="DatosTabla"/>
              <w:numPr>
                <w:ilvl w:val="0"/>
                <w:numId w:val="27"/>
              </w:numPr>
              <w:jc w:val="left"/>
              <w:rPr>
                <w:rFonts w:asciiTheme="minorHAnsi" w:hAnsiTheme="minorHAnsi" w:cstheme="minorHAnsi"/>
                <w:szCs w:val="18"/>
              </w:rPr>
            </w:pPr>
            <w:r w:rsidRPr="00001F12">
              <w:rPr>
                <w:rFonts w:asciiTheme="minorHAnsi" w:hAnsiTheme="minorHAnsi" w:cstheme="minorHAnsi"/>
                <w:szCs w:val="18"/>
              </w:rPr>
              <w:t>Aguas superficiales</w:t>
            </w:r>
          </w:p>
        </w:tc>
        <w:tc>
          <w:tcPr>
            <w:tcW w:w="957" w:type="pct"/>
            <w:vAlign w:val="center"/>
          </w:tcPr>
          <w:p w14:paraId="7ABEF2A7" w14:textId="0A32215B" w:rsidR="006F2DCF" w:rsidRPr="00001F12" w:rsidRDefault="0067452D" w:rsidP="002F76CC">
            <w:pPr>
              <w:pStyle w:val="DatosTabla"/>
              <w:jc w:val="center"/>
              <w:rPr>
                <w:rFonts w:asciiTheme="minorHAnsi" w:hAnsiTheme="minorHAnsi" w:cstheme="minorHAnsi"/>
                <w:szCs w:val="18"/>
              </w:rPr>
            </w:pPr>
            <w:r w:rsidRPr="00001F12">
              <w:rPr>
                <w:rFonts w:asciiTheme="minorHAnsi" w:hAnsiTheme="minorHAnsi" w:cstheme="minorHAnsi"/>
                <w:szCs w:val="18"/>
              </w:rPr>
              <w:t>41.689</w:t>
            </w:r>
          </w:p>
        </w:tc>
        <w:tc>
          <w:tcPr>
            <w:tcW w:w="882" w:type="pct"/>
            <w:vAlign w:val="center"/>
          </w:tcPr>
          <w:p w14:paraId="0A6FD945" w14:textId="2DB7FBFA" w:rsidR="006F2DCF" w:rsidRPr="00001F12" w:rsidRDefault="0067452D" w:rsidP="002F76CC">
            <w:pPr>
              <w:pStyle w:val="DatosTabla"/>
              <w:jc w:val="center"/>
              <w:rPr>
                <w:rFonts w:asciiTheme="minorHAnsi" w:hAnsiTheme="minorHAnsi" w:cstheme="minorHAnsi"/>
                <w:szCs w:val="18"/>
              </w:rPr>
            </w:pPr>
            <w:r w:rsidRPr="00001F12">
              <w:rPr>
                <w:rFonts w:asciiTheme="minorHAnsi" w:hAnsiTheme="minorHAnsi" w:cstheme="minorHAnsi"/>
                <w:szCs w:val="18"/>
              </w:rPr>
              <w:t>41.718</w:t>
            </w:r>
          </w:p>
        </w:tc>
        <w:tc>
          <w:tcPr>
            <w:tcW w:w="1029" w:type="pct"/>
            <w:vAlign w:val="center"/>
          </w:tcPr>
          <w:p w14:paraId="7FEEF56B" w14:textId="01AC0595" w:rsidR="006F2DCF" w:rsidRPr="00001F12" w:rsidRDefault="0067452D" w:rsidP="002F76CC">
            <w:pPr>
              <w:pStyle w:val="DatosTabla"/>
              <w:jc w:val="center"/>
              <w:rPr>
                <w:rFonts w:asciiTheme="minorHAnsi" w:hAnsiTheme="minorHAnsi" w:cstheme="minorHAnsi"/>
                <w:szCs w:val="18"/>
              </w:rPr>
            </w:pPr>
            <w:r w:rsidRPr="00001F12">
              <w:rPr>
                <w:rFonts w:asciiTheme="minorHAnsi" w:hAnsiTheme="minorHAnsi" w:cstheme="minorHAnsi"/>
                <w:szCs w:val="18"/>
              </w:rPr>
              <w:t>50.446</w:t>
            </w:r>
          </w:p>
        </w:tc>
        <w:tc>
          <w:tcPr>
            <w:tcW w:w="810" w:type="pct"/>
            <w:vAlign w:val="center"/>
          </w:tcPr>
          <w:p w14:paraId="0D4A0369" w14:textId="7370A253" w:rsidR="006F2DCF" w:rsidRPr="00001F12" w:rsidRDefault="0067452D" w:rsidP="002F76CC">
            <w:pPr>
              <w:pStyle w:val="DatosTabla"/>
              <w:jc w:val="center"/>
              <w:rPr>
                <w:rFonts w:asciiTheme="minorHAnsi" w:hAnsiTheme="minorHAnsi" w:cstheme="minorHAnsi"/>
                <w:szCs w:val="18"/>
              </w:rPr>
            </w:pPr>
            <w:r w:rsidRPr="00001F12">
              <w:rPr>
                <w:rFonts w:asciiTheme="minorHAnsi" w:hAnsiTheme="minorHAnsi" w:cstheme="minorHAnsi"/>
                <w:szCs w:val="18"/>
              </w:rPr>
              <w:t>49.511</w:t>
            </w:r>
          </w:p>
        </w:tc>
      </w:tr>
      <w:tr w:rsidR="0085713E" w14:paraId="7206B7CF" w14:textId="77777777" w:rsidTr="006D3C1D">
        <w:trPr>
          <w:trHeight w:val="227"/>
        </w:trPr>
        <w:tc>
          <w:tcPr>
            <w:tcW w:w="1322" w:type="pct"/>
            <w:tcBorders>
              <w:bottom w:val="single" w:sz="12" w:space="0" w:color="E2231A" w:themeColor="accent1"/>
            </w:tcBorders>
            <w:vAlign w:val="center"/>
          </w:tcPr>
          <w:p w14:paraId="0FC497F2" w14:textId="051A7D91" w:rsidR="006F2DCF" w:rsidRPr="00001F12" w:rsidRDefault="00C251E1" w:rsidP="002F76CC">
            <w:pPr>
              <w:pStyle w:val="DatosTabla"/>
              <w:jc w:val="left"/>
              <w:rPr>
                <w:rFonts w:asciiTheme="minorHAnsi" w:hAnsiTheme="minorHAnsi" w:cstheme="minorHAnsi"/>
                <w:szCs w:val="18"/>
              </w:rPr>
            </w:pPr>
            <w:r>
              <w:rPr>
                <w:rFonts w:asciiTheme="minorHAnsi" w:hAnsiTheme="minorHAnsi" w:cstheme="minorHAnsi"/>
                <w:szCs w:val="18"/>
              </w:rPr>
              <w:t>A</w:t>
            </w:r>
            <w:r w:rsidR="006F2DCF" w:rsidRPr="00001F12">
              <w:rPr>
                <w:rFonts w:asciiTheme="minorHAnsi" w:hAnsiTheme="minorHAnsi" w:cstheme="minorHAnsi"/>
                <w:szCs w:val="18"/>
              </w:rPr>
              <w:t>gua extraída de otros sistemas de abastecimiento</w:t>
            </w:r>
          </w:p>
        </w:tc>
        <w:tc>
          <w:tcPr>
            <w:tcW w:w="957" w:type="pct"/>
            <w:tcBorders>
              <w:bottom w:val="single" w:sz="12" w:space="0" w:color="E2231A" w:themeColor="accent1"/>
            </w:tcBorders>
            <w:vAlign w:val="center"/>
          </w:tcPr>
          <w:p w14:paraId="0405C7C1" w14:textId="38FB284B" w:rsidR="006F2DCF" w:rsidRPr="00001F12" w:rsidRDefault="0067452D" w:rsidP="002F76CC">
            <w:pPr>
              <w:pStyle w:val="DatosTabla"/>
              <w:jc w:val="center"/>
              <w:rPr>
                <w:rFonts w:asciiTheme="minorHAnsi" w:hAnsiTheme="minorHAnsi" w:cstheme="minorHAnsi"/>
                <w:szCs w:val="18"/>
              </w:rPr>
            </w:pPr>
            <w:r w:rsidRPr="00001F12">
              <w:rPr>
                <w:rFonts w:asciiTheme="minorHAnsi" w:hAnsiTheme="minorHAnsi" w:cstheme="minorHAnsi"/>
                <w:szCs w:val="18"/>
              </w:rPr>
              <w:t>46.799</w:t>
            </w:r>
          </w:p>
        </w:tc>
        <w:tc>
          <w:tcPr>
            <w:tcW w:w="882" w:type="pct"/>
            <w:tcBorders>
              <w:bottom w:val="single" w:sz="12" w:space="0" w:color="E2231A" w:themeColor="accent1"/>
            </w:tcBorders>
            <w:vAlign w:val="center"/>
          </w:tcPr>
          <w:p w14:paraId="6CCCEA5D" w14:textId="6FB58204" w:rsidR="006F2DCF" w:rsidRPr="00001F12" w:rsidRDefault="0067452D" w:rsidP="002F76CC">
            <w:pPr>
              <w:pStyle w:val="DatosTabla"/>
              <w:jc w:val="center"/>
              <w:rPr>
                <w:rFonts w:asciiTheme="minorHAnsi" w:hAnsiTheme="minorHAnsi" w:cstheme="minorHAnsi"/>
                <w:szCs w:val="18"/>
              </w:rPr>
            </w:pPr>
            <w:r w:rsidRPr="00001F12">
              <w:rPr>
                <w:rFonts w:asciiTheme="minorHAnsi" w:hAnsiTheme="minorHAnsi" w:cstheme="minorHAnsi"/>
                <w:szCs w:val="18"/>
              </w:rPr>
              <w:t>44.421</w:t>
            </w:r>
          </w:p>
        </w:tc>
        <w:tc>
          <w:tcPr>
            <w:tcW w:w="1029" w:type="pct"/>
            <w:tcBorders>
              <w:bottom w:val="single" w:sz="12" w:space="0" w:color="E2231A" w:themeColor="accent1"/>
            </w:tcBorders>
            <w:vAlign w:val="center"/>
          </w:tcPr>
          <w:p w14:paraId="0C47D4EB" w14:textId="4293B646" w:rsidR="006F2DCF" w:rsidRPr="00001F12" w:rsidRDefault="0067452D" w:rsidP="002F76CC">
            <w:pPr>
              <w:pStyle w:val="DatosTabla"/>
              <w:jc w:val="center"/>
              <w:rPr>
                <w:rFonts w:asciiTheme="minorHAnsi" w:hAnsiTheme="minorHAnsi" w:cstheme="minorHAnsi"/>
                <w:szCs w:val="18"/>
              </w:rPr>
            </w:pPr>
            <w:r w:rsidRPr="00001F12">
              <w:rPr>
                <w:rFonts w:asciiTheme="minorHAnsi" w:hAnsiTheme="minorHAnsi" w:cstheme="minorHAnsi"/>
                <w:szCs w:val="18"/>
              </w:rPr>
              <w:t>53.961</w:t>
            </w:r>
          </w:p>
        </w:tc>
        <w:tc>
          <w:tcPr>
            <w:tcW w:w="810" w:type="pct"/>
            <w:tcBorders>
              <w:bottom w:val="single" w:sz="12" w:space="0" w:color="E2231A" w:themeColor="accent1"/>
            </w:tcBorders>
            <w:vAlign w:val="center"/>
          </w:tcPr>
          <w:p w14:paraId="3ABFFAD6" w14:textId="2A312081" w:rsidR="006F2DCF" w:rsidRPr="00001F12" w:rsidRDefault="00001F12" w:rsidP="002F76CC">
            <w:pPr>
              <w:pStyle w:val="DatosTabla"/>
              <w:jc w:val="center"/>
              <w:rPr>
                <w:rFonts w:asciiTheme="minorHAnsi" w:hAnsiTheme="minorHAnsi" w:cstheme="minorHAnsi"/>
                <w:szCs w:val="18"/>
              </w:rPr>
            </w:pPr>
            <w:r w:rsidRPr="00001F12">
              <w:rPr>
                <w:rFonts w:asciiTheme="minorHAnsi" w:hAnsiTheme="minorHAnsi" w:cstheme="minorHAnsi"/>
                <w:szCs w:val="18"/>
              </w:rPr>
              <w:t>51.121</w:t>
            </w:r>
          </w:p>
        </w:tc>
      </w:tr>
      <w:tr w:rsidR="0085713E" w14:paraId="5252EA12" w14:textId="77777777" w:rsidTr="006D3C1D">
        <w:trPr>
          <w:trHeight w:val="227"/>
        </w:trPr>
        <w:tc>
          <w:tcPr>
            <w:tcW w:w="1322" w:type="pct"/>
            <w:tcBorders>
              <w:top w:val="single" w:sz="12" w:space="0" w:color="E2231A" w:themeColor="accent1"/>
              <w:bottom w:val="single" w:sz="4" w:space="0" w:color="E2231A" w:themeColor="accent1"/>
            </w:tcBorders>
            <w:shd w:val="clear" w:color="auto" w:fill="F9D2D0" w:themeFill="accent1" w:themeFillTint="33"/>
            <w:vAlign w:val="center"/>
          </w:tcPr>
          <w:p w14:paraId="4CE33F22" w14:textId="64BE7EC9" w:rsidR="006F2DCF" w:rsidRPr="00001F12" w:rsidRDefault="0067452D" w:rsidP="002F76CC">
            <w:pPr>
              <w:pStyle w:val="DatosTabla"/>
              <w:jc w:val="left"/>
              <w:rPr>
                <w:rFonts w:asciiTheme="minorHAnsi" w:hAnsiTheme="minorHAnsi" w:cstheme="minorHAnsi"/>
                <w:b/>
                <w:bCs/>
                <w:szCs w:val="18"/>
              </w:rPr>
            </w:pPr>
            <w:r w:rsidRPr="00001F12">
              <w:rPr>
                <w:rFonts w:asciiTheme="minorHAnsi" w:hAnsiTheme="minorHAnsi" w:cstheme="minorHAnsi"/>
                <w:b/>
                <w:bCs/>
                <w:szCs w:val="18"/>
              </w:rPr>
              <w:t>Pérdidas de agua</w:t>
            </w:r>
          </w:p>
        </w:tc>
        <w:tc>
          <w:tcPr>
            <w:tcW w:w="957" w:type="pct"/>
            <w:tcBorders>
              <w:top w:val="single" w:sz="12" w:space="0" w:color="E2231A" w:themeColor="accent1"/>
              <w:bottom w:val="single" w:sz="4" w:space="0" w:color="E2231A" w:themeColor="accent1"/>
            </w:tcBorders>
            <w:shd w:val="clear" w:color="auto" w:fill="F9D2D0" w:themeFill="accent1" w:themeFillTint="33"/>
            <w:vAlign w:val="center"/>
          </w:tcPr>
          <w:p w14:paraId="44F9D544" w14:textId="45FC3C76" w:rsidR="006F2DCF" w:rsidRPr="00001F12" w:rsidRDefault="00001F12" w:rsidP="002F76CC">
            <w:pPr>
              <w:pStyle w:val="DatosTabla"/>
              <w:jc w:val="center"/>
              <w:rPr>
                <w:rFonts w:asciiTheme="minorHAnsi" w:hAnsiTheme="minorHAnsi" w:cstheme="minorHAnsi"/>
                <w:b/>
                <w:bCs/>
                <w:szCs w:val="18"/>
              </w:rPr>
            </w:pPr>
            <w:r w:rsidRPr="00001F12">
              <w:rPr>
                <w:rFonts w:asciiTheme="minorHAnsi" w:hAnsiTheme="minorHAnsi" w:cstheme="minorHAnsi"/>
                <w:b/>
                <w:bCs/>
                <w:szCs w:val="18"/>
              </w:rPr>
              <w:t>197.590</w:t>
            </w:r>
          </w:p>
        </w:tc>
        <w:tc>
          <w:tcPr>
            <w:tcW w:w="882" w:type="pct"/>
            <w:tcBorders>
              <w:top w:val="single" w:sz="12" w:space="0" w:color="E2231A" w:themeColor="accent1"/>
              <w:bottom w:val="single" w:sz="4" w:space="0" w:color="E2231A" w:themeColor="accent1"/>
            </w:tcBorders>
            <w:shd w:val="clear" w:color="auto" w:fill="F9D2D0" w:themeFill="accent1" w:themeFillTint="33"/>
            <w:vAlign w:val="center"/>
          </w:tcPr>
          <w:p w14:paraId="3F776A58" w14:textId="4CDD66BF" w:rsidR="006F2DCF" w:rsidRPr="00001F12" w:rsidRDefault="00001F12" w:rsidP="002F76CC">
            <w:pPr>
              <w:pStyle w:val="DatosTabla"/>
              <w:jc w:val="center"/>
              <w:rPr>
                <w:rFonts w:asciiTheme="minorHAnsi" w:hAnsiTheme="minorHAnsi" w:cstheme="minorHAnsi"/>
                <w:b/>
                <w:bCs/>
                <w:szCs w:val="18"/>
              </w:rPr>
            </w:pPr>
            <w:r w:rsidRPr="00001F12">
              <w:rPr>
                <w:rFonts w:asciiTheme="minorHAnsi" w:hAnsiTheme="minorHAnsi" w:cstheme="minorHAnsi"/>
                <w:b/>
                <w:bCs/>
                <w:szCs w:val="18"/>
              </w:rPr>
              <w:t>197.273</w:t>
            </w:r>
          </w:p>
        </w:tc>
        <w:tc>
          <w:tcPr>
            <w:tcW w:w="1029" w:type="pct"/>
            <w:tcBorders>
              <w:top w:val="single" w:sz="12" w:space="0" w:color="E2231A" w:themeColor="accent1"/>
              <w:bottom w:val="single" w:sz="4" w:space="0" w:color="E2231A" w:themeColor="accent1"/>
            </w:tcBorders>
            <w:shd w:val="clear" w:color="auto" w:fill="F9D2D0" w:themeFill="accent1" w:themeFillTint="33"/>
            <w:vAlign w:val="center"/>
          </w:tcPr>
          <w:p w14:paraId="6337873C" w14:textId="326F763E" w:rsidR="006F2DCF" w:rsidRPr="00001F12" w:rsidRDefault="00001F12" w:rsidP="002F76CC">
            <w:pPr>
              <w:pStyle w:val="DatosTabla"/>
              <w:jc w:val="center"/>
              <w:rPr>
                <w:rFonts w:asciiTheme="minorHAnsi" w:hAnsiTheme="minorHAnsi" w:cstheme="minorHAnsi"/>
                <w:b/>
                <w:bCs/>
                <w:szCs w:val="18"/>
              </w:rPr>
            </w:pPr>
            <w:r w:rsidRPr="00001F12">
              <w:rPr>
                <w:rFonts w:asciiTheme="minorHAnsi" w:hAnsiTheme="minorHAnsi" w:cstheme="minorHAnsi"/>
                <w:b/>
                <w:bCs/>
                <w:szCs w:val="18"/>
              </w:rPr>
              <w:t>201.572</w:t>
            </w:r>
          </w:p>
        </w:tc>
        <w:tc>
          <w:tcPr>
            <w:tcW w:w="810" w:type="pct"/>
            <w:tcBorders>
              <w:top w:val="single" w:sz="12" w:space="0" w:color="E2231A" w:themeColor="accent1"/>
              <w:bottom w:val="single" w:sz="4" w:space="0" w:color="E2231A" w:themeColor="accent1"/>
            </w:tcBorders>
            <w:shd w:val="clear" w:color="auto" w:fill="F9D2D0" w:themeFill="accent1" w:themeFillTint="33"/>
            <w:vAlign w:val="center"/>
          </w:tcPr>
          <w:p w14:paraId="644BFDC2" w14:textId="6BEE4A1B" w:rsidR="006F2DCF" w:rsidRPr="00001F12" w:rsidRDefault="00001F12" w:rsidP="002F76CC">
            <w:pPr>
              <w:pStyle w:val="DatosTabla"/>
              <w:jc w:val="center"/>
              <w:rPr>
                <w:rFonts w:asciiTheme="minorHAnsi" w:hAnsiTheme="minorHAnsi" w:cstheme="minorHAnsi"/>
                <w:b/>
                <w:bCs/>
                <w:szCs w:val="18"/>
              </w:rPr>
            </w:pPr>
            <w:r w:rsidRPr="00001F12">
              <w:rPr>
                <w:rFonts w:asciiTheme="minorHAnsi" w:hAnsiTheme="minorHAnsi" w:cstheme="minorHAnsi"/>
                <w:b/>
                <w:bCs/>
                <w:szCs w:val="18"/>
              </w:rPr>
              <w:t>208.741</w:t>
            </w:r>
          </w:p>
        </w:tc>
      </w:tr>
    </w:tbl>
    <w:p w14:paraId="7EB65F61" w14:textId="39AF3513" w:rsidR="00792851" w:rsidRPr="009E4085" w:rsidRDefault="008631C6" w:rsidP="001D30E0">
      <w:pPr>
        <w:pStyle w:val="Piedetablaygrfico"/>
        <w:spacing w:after="240"/>
      </w:pPr>
      <w:r>
        <w:t>Fuente: Oficina de Estadísticas de Croacia</w:t>
      </w:r>
      <w:r w:rsidR="00001F12">
        <w:t>.</w:t>
      </w:r>
      <w:r w:rsidR="00001F12">
        <w:rPr>
          <w:rStyle w:val="Refdenotaalpie"/>
        </w:rPr>
        <w:footnoteReference w:id="19"/>
      </w:r>
    </w:p>
    <w:p w14:paraId="32A16DDD" w14:textId="19957DAD" w:rsidR="00E17348" w:rsidRPr="00E17348" w:rsidRDefault="00503D96" w:rsidP="00E17348">
      <w:pPr>
        <w:pStyle w:val="Ttulo3"/>
      </w:pPr>
      <w:bookmarkStart w:id="23" w:name="_Toc148363701"/>
      <w:r w:rsidRPr="008C15F3">
        <w:t>Tratamiento de aguas residuales</w:t>
      </w:r>
      <w:bookmarkEnd w:id="23"/>
    </w:p>
    <w:p w14:paraId="5D12003A" w14:textId="79D5A085" w:rsidR="000818A1" w:rsidRDefault="00036BDD" w:rsidP="00036BDD">
      <w:pPr>
        <w:rPr>
          <w:color w:val="auto"/>
          <w:lang w:val="es-ES" w:eastAsia="es-ES"/>
        </w:rPr>
      </w:pPr>
      <w:r w:rsidRPr="00DE02E3">
        <w:rPr>
          <w:color w:val="auto"/>
          <w:lang w:val="es-ES" w:eastAsia="es-ES"/>
        </w:rPr>
        <w:t xml:space="preserve">De acuerdo con los datos proporcionados por la Oficina de Estadísticas de Croacia, en el año </w:t>
      </w:r>
      <w:r w:rsidRPr="000818A1">
        <w:rPr>
          <w:b/>
          <w:bCs/>
          <w:color w:val="auto"/>
          <w:lang w:val="es-ES" w:eastAsia="es-ES"/>
        </w:rPr>
        <w:t>20</w:t>
      </w:r>
      <w:r w:rsidR="000B5E5E" w:rsidRPr="000818A1">
        <w:rPr>
          <w:b/>
          <w:bCs/>
          <w:color w:val="auto"/>
          <w:lang w:val="es-ES" w:eastAsia="es-ES"/>
        </w:rPr>
        <w:t>2</w:t>
      </w:r>
      <w:r w:rsidR="00F95A57" w:rsidRPr="000818A1">
        <w:rPr>
          <w:b/>
          <w:bCs/>
          <w:color w:val="auto"/>
          <w:lang w:val="es-ES" w:eastAsia="es-ES"/>
        </w:rPr>
        <w:t>2</w:t>
      </w:r>
      <w:r w:rsidR="000818A1" w:rsidRPr="000818A1">
        <w:rPr>
          <w:color w:val="auto"/>
          <w:lang w:val="es-ES" w:eastAsia="es-ES"/>
        </w:rPr>
        <w:t>,</w:t>
      </w:r>
      <w:r w:rsidRPr="00DE02E3">
        <w:rPr>
          <w:color w:val="auto"/>
          <w:lang w:val="es-ES" w:eastAsia="es-ES"/>
        </w:rPr>
        <w:t xml:space="preserve"> el </w:t>
      </w:r>
      <w:r w:rsidRPr="000818A1">
        <w:rPr>
          <w:b/>
          <w:bCs/>
          <w:color w:val="auto"/>
          <w:lang w:val="es-ES" w:eastAsia="es-ES"/>
        </w:rPr>
        <w:t>volumen de aguas residuales</w:t>
      </w:r>
      <w:r w:rsidRPr="00DE02E3">
        <w:rPr>
          <w:color w:val="auto"/>
          <w:lang w:val="es-ES" w:eastAsia="es-ES"/>
        </w:rPr>
        <w:t xml:space="preserve"> alcanzó un total de </w:t>
      </w:r>
      <w:r w:rsidR="000B5E5E" w:rsidRPr="000818A1">
        <w:rPr>
          <w:b/>
          <w:bCs/>
          <w:color w:val="auto"/>
          <w:lang w:val="es-ES" w:eastAsia="es-ES"/>
        </w:rPr>
        <w:t>35</w:t>
      </w:r>
      <w:r w:rsidR="00F95A57" w:rsidRPr="000818A1">
        <w:rPr>
          <w:b/>
          <w:bCs/>
          <w:color w:val="auto"/>
          <w:lang w:val="es-ES" w:eastAsia="es-ES"/>
        </w:rPr>
        <w:t>4</w:t>
      </w:r>
      <w:r w:rsidR="000916C9" w:rsidRPr="000818A1">
        <w:rPr>
          <w:b/>
          <w:bCs/>
          <w:color w:val="auto"/>
          <w:lang w:val="es-ES" w:eastAsia="es-ES"/>
        </w:rPr>
        <w:t>.</w:t>
      </w:r>
      <w:r w:rsidR="00F95A57" w:rsidRPr="000818A1">
        <w:rPr>
          <w:b/>
          <w:bCs/>
          <w:color w:val="auto"/>
          <w:lang w:val="es-ES" w:eastAsia="es-ES"/>
        </w:rPr>
        <w:t>519</w:t>
      </w:r>
      <w:r w:rsidRPr="000818A1">
        <w:rPr>
          <w:b/>
          <w:bCs/>
          <w:color w:val="auto"/>
          <w:lang w:val="es-ES" w:eastAsia="es-ES"/>
        </w:rPr>
        <w:t xml:space="preserve"> miles de m</w:t>
      </w:r>
      <w:r w:rsidR="007F158A" w:rsidRPr="000818A1">
        <w:rPr>
          <w:b/>
          <w:bCs/>
          <w:color w:val="auto"/>
          <w:vertAlign w:val="superscript"/>
          <w:lang w:val="es-ES" w:eastAsia="es-ES"/>
        </w:rPr>
        <w:t>3</w:t>
      </w:r>
      <w:r w:rsidRPr="00DE02E3">
        <w:rPr>
          <w:color w:val="auto"/>
          <w:lang w:val="es-ES" w:eastAsia="es-ES"/>
        </w:rPr>
        <w:t xml:space="preserve">, </w:t>
      </w:r>
      <w:r w:rsidR="00FE16C3" w:rsidRPr="00FE16C3">
        <w:rPr>
          <w:color w:val="auto"/>
          <w:lang w:val="es-ES" w:eastAsia="es-ES"/>
        </w:rPr>
        <w:t xml:space="preserve">registrando una ligera disminución del </w:t>
      </w:r>
      <w:r w:rsidR="00FE16C3" w:rsidRPr="00A04252">
        <w:rPr>
          <w:color w:val="auto"/>
          <w:lang w:val="es-ES" w:eastAsia="es-ES"/>
        </w:rPr>
        <w:t>0,6</w:t>
      </w:r>
      <w:r w:rsidR="00A04252">
        <w:rPr>
          <w:color w:val="auto"/>
          <w:lang w:val="es-ES" w:eastAsia="es-ES"/>
        </w:rPr>
        <w:t xml:space="preserve"> </w:t>
      </w:r>
      <w:r w:rsidR="00FE16C3" w:rsidRPr="00A04252">
        <w:rPr>
          <w:color w:val="auto"/>
          <w:lang w:val="es-ES" w:eastAsia="es-ES"/>
        </w:rPr>
        <w:t>%</w:t>
      </w:r>
      <w:r w:rsidR="00FE16C3" w:rsidRPr="00FE16C3">
        <w:rPr>
          <w:color w:val="auto"/>
          <w:lang w:val="es-ES" w:eastAsia="es-ES"/>
        </w:rPr>
        <w:t xml:space="preserve"> en comparación con los datos de 2021</w:t>
      </w:r>
      <w:r w:rsidRPr="00DE02E3">
        <w:rPr>
          <w:color w:val="auto"/>
          <w:lang w:val="es-ES" w:eastAsia="es-ES"/>
        </w:rPr>
        <w:t xml:space="preserve">. </w:t>
      </w:r>
      <w:r w:rsidR="00E27042">
        <w:rPr>
          <w:color w:val="auto"/>
          <w:lang w:val="es-ES" w:eastAsia="es-ES"/>
        </w:rPr>
        <w:t>De est</w:t>
      </w:r>
      <w:r w:rsidR="00FE16C3">
        <w:rPr>
          <w:color w:val="auto"/>
          <w:lang w:val="es-ES" w:eastAsia="es-ES"/>
        </w:rPr>
        <w:t>e volumen</w:t>
      </w:r>
      <w:r w:rsidR="00E27042">
        <w:rPr>
          <w:color w:val="auto"/>
          <w:lang w:val="es-ES" w:eastAsia="es-ES"/>
        </w:rPr>
        <w:t>,</w:t>
      </w:r>
      <w:r w:rsidR="00FE16C3">
        <w:rPr>
          <w:color w:val="auto"/>
          <w:lang w:val="es-ES" w:eastAsia="es-ES"/>
        </w:rPr>
        <w:t xml:space="preserve"> </w:t>
      </w:r>
      <w:r w:rsidR="00E27042" w:rsidRPr="000818A1">
        <w:rPr>
          <w:b/>
          <w:bCs/>
          <w:color w:val="auto"/>
          <w:lang w:val="es-ES" w:eastAsia="es-ES"/>
        </w:rPr>
        <w:t>297.915 mil m</w:t>
      </w:r>
      <w:r w:rsidR="007F158A" w:rsidRPr="000818A1">
        <w:rPr>
          <w:b/>
          <w:bCs/>
          <w:color w:val="auto"/>
          <w:vertAlign w:val="superscript"/>
          <w:lang w:val="es-ES" w:eastAsia="es-ES"/>
        </w:rPr>
        <w:t>3</w:t>
      </w:r>
      <w:r w:rsidR="00E27042" w:rsidRPr="000818A1">
        <w:rPr>
          <w:b/>
          <w:bCs/>
          <w:color w:val="auto"/>
          <w:lang w:val="es-ES" w:eastAsia="es-ES"/>
        </w:rPr>
        <w:t xml:space="preserve"> fueron tratados</w:t>
      </w:r>
      <w:r w:rsidR="00E27042">
        <w:rPr>
          <w:color w:val="auto"/>
          <w:lang w:val="es-ES" w:eastAsia="es-ES"/>
        </w:rPr>
        <w:t xml:space="preserve"> en 2022, </w:t>
      </w:r>
      <w:r w:rsidR="00FE16C3">
        <w:rPr>
          <w:color w:val="auto"/>
          <w:lang w:val="es-ES" w:eastAsia="es-ES"/>
        </w:rPr>
        <w:t>el</w:t>
      </w:r>
      <w:r w:rsidR="00E27042">
        <w:rPr>
          <w:color w:val="auto"/>
          <w:lang w:val="es-ES" w:eastAsia="es-ES"/>
        </w:rPr>
        <w:t xml:space="preserve"> </w:t>
      </w:r>
      <w:r w:rsidR="00E27042" w:rsidRPr="000818A1">
        <w:rPr>
          <w:b/>
          <w:bCs/>
          <w:color w:val="auto"/>
          <w:lang w:val="es-ES" w:eastAsia="es-ES"/>
        </w:rPr>
        <w:t>84</w:t>
      </w:r>
      <w:r w:rsidR="00D0081F">
        <w:rPr>
          <w:b/>
          <w:bCs/>
          <w:color w:val="auto"/>
          <w:lang w:val="es-ES" w:eastAsia="es-ES"/>
        </w:rPr>
        <w:t xml:space="preserve"> </w:t>
      </w:r>
      <w:r w:rsidR="00E27042" w:rsidRPr="000818A1">
        <w:rPr>
          <w:b/>
          <w:bCs/>
          <w:color w:val="auto"/>
          <w:lang w:val="es-ES" w:eastAsia="es-ES"/>
        </w:rPr>
        <w:t>%</w:t>
      </w:r>
      <w:r w:rsidR="00FE16C3">
        <w:rPr>
          <w:color w:val="auto"/>
          <w:lang w:val="es-ES" w:eastAsia="es-ES"/>
        </w:rPr>
        <w:t>,</w:t>
      </w:r>
      <w:r w:rsidR="00FE16C3">
        <w:t xml:space="preserve"> </w:t>
      </w:r>
      <w:r w:rsidR="00FE16C3" w:rsidRPr="00FE16C3">
        <w:rPr>
          <w:color w:val="auto"/>
          <w:lang w:val="es-ES" w:eastAsia="es-ES"/>
        </w:rPr>
        <w:t>lo que supuso un leve incremento en el porcentaje de agua tratada entre 2021 y 2022, experimentando un aumento del 0</w:t>
      </w:r>
      <w:r w:rsidR="00FE16C3">
        <w:rPr>
          <w:color w:val="auto"/>
          <w:lang w:val="es-ES" w:eastAsia="es-ES"/>
        </w:rPr>
        <w:t>,</w:t>
      </w:r>
      <w:r w:rsidR="00FE16C3" w:rsidRPr="00FE16C3">
        <w:rPr>
          <w:color w:val="auto"/>
          <w:lang w:val="es-ES" w:eastAsia="es-ES"/>
        </w:rPr>
        <w:t>4</w:t>
      </w:r>
      <w:r w:rsidR="00D0081F">
        <w:rPr>
          <w:color w:val="auto"/>
          <w:lang w:val="es-ES" w:eastAsia="es-ES"/>
        </w:rPr>
        <w:t xml:space="preserve"> </w:t>
      </w:r>
      <w:r w:rsidR="00FE16C3" w:rsidRPr="00FE16C3">
        <w:rPr>
          <w:color w:val="auto"/>
          <w:lang w:val="es-ES" w:eastAsia="es-ES"/>
        </w:rPr>
        <w:t>%.</w:t>
      </w:r>
    </w:p>
    <w:p w14:paraId="1264BFE2" w14:textId="01FD6DAC" w:rsidR="006548EE" w:rsidRPr="00DE02E3" w:rsidRDefault="00533F76" w:rsidP="00036BDD">
      <w:pPr>
        <w:rPr>
          <w:color w:val="auto"/>
          <w:lang w:val="es-ES" w:eastAsia="es-ES"/>
        </w:rPr>
      </w:pPr>
      <w:r w:rsidRPr="00533F76">
        <w:rPr>
          <w:color w:val="auto"/>
          <w:lang w:val="es-ES" w:eastAsia="es-ES"/>
        </w:rPr>
        <w:t xml:space="preserve">En lo que respecta al </w:t>
      </w:r>
      <w:r w:rsidRPr="00533F76">
        <w:rPr>
          <w:b/>
          <w:bCs/>
          <w:color w:val="auto"/>
          <w:lang w:val="es-ES" w:eastAsia="es-ES"/>
        </w:rPr>
        <w:t>tipo de tratamiento</w:t>
      </w:r>
      <w:r w:rsidRPr="00533F76">
        <w:rPr>
          <w:color w:val="auto"/>
          <w:lang w:val="es-ES" w:eastAsia="es-ES"/>
        </w:rPr>
        <w:t xml:space="preserve">, </w:t>
      </w:r>
      <w:r w:rsidR="00AF187D" w:rsidRPr="00533F76">
        <w:rPr>
          <w:color w:val="auto"/>
          <w:lang w:val="es-ES" w:eastAsia="es-ES"/>
        </w:rPr>
        <w:t xml:space="preserve">el mayor cambio </w:t>
      </w:r>
      <w:r w:rsidRPr="00533F76">
        <w:rPr>
          <w:color w:val="auto"/>
          <w:lang w:val="es-ES" w:eastAsia="es-ES"/>
        </w:rPr>
        <w:t>se destaca en el tratamiento terciario, el cual ha experimentado un incremento de casi el 17</w:t>
      </w:r>
      <w:r w:rsidR="00D0081F">
        <w:rPr>
          <w:color w:val="auto"/>
          <w:lang w:val="es-ES" w:eastAsia="es-ES"/>
        </w:rPr>
        <w:t xml:space="preserve"> </w:t>
      </w:r>
      <w:r w:rsidRPr="00533F76">
        <w:rPr>
          <w:color w:val="auto"/>
          <w:lang w:val="es-ES" w:eastAsia="es-ES"/>
        </w:rPr>
        <w:t>% en comparación con el año 2021. Por otro lado, se ha registrado una ligera disminución en el tratamiento secundario, mientras que el tratamiento primario ha experimentado un aumento del 5</w:t>
      </w:r>
      <w:r w:rsidR="00D0081F">
        <w:rPr>
          <w:color w:val="auto"/>
          <w:lang w:val="es-ES" w:eastAsia="es-ES"/>
        </w:rPr>
        <w:t xml:space="preserve"> </w:t>
      </w:r>
      <w:r w:rsidRPr="00533F76">
        <w:rPr>
          <w:color w:val="auto"/>
          <w:lang w:val="es-ES" w:eastAsia="es-ES"/>
        </w:rPr>
        <w:t>%.</w:t>
      </w:r>
      <w:r w:rsidR="000818A1" w:rsidRPr="000818A1">
        <w:rPr>
          <w:color w:val="auto"/>
          <w:lang w:val="es-ES" w:eastAsia="es-ES"/>
        </w:rPr>
        <w:t xml:space="preserve"> </w:t>
      </w:r>
      <w:r w:rsidR="000818A1">
        <w:rPr>
          <w:color w:val="auto"/>
          <w:lang w:val="es-ES" w:eastAsia="es-ES"/>
        </w:rPr>
        <w:t>Según Eurostat</w:t>
      </w:r>
      <w:r>
        <w:rPr>
          <w:color w:val="auto"/>
          <w:lang w:val="es-ES" w:eastAsia="es-ES"/>
        </w:rPr>
        <w:t>,</w:t>
      </w:r>
      <w:r w:rsidR="000818A1">
        <w:rPr>
          <w:color w:val="auto"/>
          <w:lang w:val="es-ES" w:eastAsia="es-ES"/>
        </w:rPr>
        <w:t xml:space="preserve"> solo uno de cada dos hogares estaba conectado a plantas de tratamiento de aguas en 2020, </w:t>
      </w:r>
      <w:r w:rsidR="000818A1" w:rsidRPr="00533F76">
        <w:rPr>
          <w:color w:val="auto"/>
          <w:u w:val="single"/>
          <w:lang w:val="es-ES" w:eastAsia="es-ES"/>
        </w:rPr>
        <w:t>una de las peores cifras de la UE junto a Malta</w:t>
      </w:r>
      <w:r w:rsidR="000818A1">
        <w:rPr>
          <w:color w:val="auto"/>
          <w:lang w:val="es-ES" w:eastAsia="es-ES"/>
        </w:rPr>
        <w:t>.</w:t>
      </w:r>
      <w:r w:rsidR="000818A1">
        <w:rPr>
          <w:rStyle w:val="Refdenotaalpie"/>
          <w:lang w:val="es-ES" w:eastAsia="es-ES"/>
        </w:rPr>
        <w:footnoteReference w:id="20"/>
      </w:r>
    </w:p>
    <w:p w14:paraId="3C28B018" w14:textId="05CA29F0" w:rsidR="00A11FD1" w:rsidRDefault="00A11FD1" w:rsidP="00A11FD1">
      <w:pPr>
        <w:pStyle w:val="TtuloTablas"/>
      </w:pPr>
      <w:r>
        <w:lastRenderedPageBreak/>
        <w:t>TABLa</w:t>
      </w:r>
      <w:r w:rsidR="00B46777">
        <w:t xml:space="preserve"> </w:t>
      </w:r>
      <w:r w:rsidR="00530B29">
        <w:t>4</w:t>
      </w:r>
      <w:r w:rsidR="00B46777">
        <w:t>:</w:t>
      </w:r>
      <w:r>
        <w:t xml:space="preserve"> </w:t>
      </w:r>
      <w:r w:rsidR="00D81493">
        <w:t xml:space="preserve">VOLUMEN DE </w:t>
      </w:r>
      <w:r w:rsidR="00AC69D7">
        <w:t xml:space="preserve">AGUAS RESIDUALES </w:t>
      </w:r>
      <w:r w:rsidR="00AC69D7" w:rsidRPr="00AC69D7">
        <w:t xml:space="preserve">Y </w:t>
      </w:r>
      <w:r w:rsidRPr="00AC69D7">
        <w:t>tipos de</w:t>
      </w:r>
      <w:r w:rsidR="00AC69D7" w:rsidRPr="00AC69D7">
        <w:t xml:space="preserve"> TRATAMIENTO EN</w:t>
      </w:r>
      <w:r w:rsidR="00AC69D7">
        <w:t xml:space="preserve"> croacia</w:t>
      </w:r>
    </w:p>
    <w:p w14:paraId="7FF84E79" w14:textId="7C3A1507" w:rsidR="00A11FD1" w:rsidRPr="000B5E5E" w:rsidRDefault="002F76CC" w:rsidP="0085713E">
      <w:pPr>
        <w:pStyle w:val="Subttuloparatablasygrficos"/>
        <w:spacing w:after="0"/>
      </w:pPr>
      <w:r>
        <w:t>(e</w:t>
      </w:r>
      <w:r w:rsidR="00A11FD1">
        <w:t>n miles de m</w:t>
      </w:r>
      <w:r>
        <w:rPr>
          <w:vertAlign w:val="superscript"/>
        </w:rPr>
        <w:t>3</w:t>
      </w:r>
      <w:r>
        <w:t>)</w:t>
      </w:r>
    </w:p>
    <w:tbl>
      <w:tblPr>
        <w:tblStyle w:val="Tabladelista2-nfasis1"/>
        <w:tblW w:w="5000" w:type="pct"/>
        <w:tblLook w:val="0620" w:firstRow="1" w:lastRow="0" w:firstColumn="0" w:lastColumn="0" w:noHBand="1" w:noVBand="1"/>
      </w:tblPr>
      <w:tblGrid>
        <w:gridCol w:w="2412"/>
        <w:gridCol w:w="1982"/>
        <w:gridCol w:w="1842"/>
        <w:gridCol w:w="1703"/>
        <w:gridCol w:w="1693"/>
      </w:tblGrid>
      <w:tr w:rsidR="008B3046" w14:paraId="5A48ADD5" w14:textId="07399CD1" w:rsidTr="006D3C1D">
        <w:trPr>
          <w:cnfStyle w:val="100000000000" w:firstRow="1" w:lastRow="0" w:firstColumn="0" w:lastColumn="0" w:oddVBand="0" w:evenVBand="0" w:oddHBand="0" w:evenHBand="0" w:firstRowFirstColumn="0" w:firstRowLastColumn="0" w:lastRowFirstColumn="0" w:lastRowLastColumn="0"/>
          <w:trHeight w:val="227"/>
        </w:trPr>
        <w:tc>
          <w:tcPr>
            <w:tcW w:w="1252" w:type="pct"/>
            <w:tcBorders>
              <w:top w:val="nil"/>
              <w:bottom w:val="single" w:sz="12" w:space="0" w:color="E2231A" w:themeColor="accent1"/>
            </w:tcBorders>
            <w:vAlign w:val="center"/>
          </w:tcPr>
          <w:p w14:paraId="73E77C47" w14:textId="51D7FE9F" w:rsidR="008B3046" w:rsidRPr="00AD1F91" w:rsidRDefault="008B3046" w:rsidP="006D3C1D">
            <w:pPr>
              <w:pStyle w:val="Rango1Tablas"/>
              <w:spacing w:line="276" w:lineRule="auto"/>
              <w:jc w:val="center"/>
              <w:rPr>
                <w:vertAlign w:val="superscript"/>
              </w:rPr>
            </w:pPr>
          </w:p>
        </w:tc>
        <w:tc>
          <w:tcPr>
            <w:tcW w:w="1029" w:type="pct"/>
            <w:tcBorders>
              <w:top w:val="nil"/>
              <w:bottom w:val="single" w:sz="12" w:space="0" w:color="E2231A" w:themeColor="accent1"/>
            </w:tcBorders>
            <w:vAlign w:val="center"/>
          </w:tcPr>
          <w:p w14:paraId="5F05A9DE" w14:textId="77777777" w:rsidR="008B3046" w:rsidRDefault="008B3046" w:rsidP="006D3C1D">
            <w:pPr>
              <w:pStyle w:val="Rango1Tablas"/>
              <w:spacing w:line="276" w:lineRule="auto"/>
              <w:jc w:val="center"/>
            </w:pPr>
            <w:r>
              <w:t>2019</w:t>
            </w:r>
          </w:p>
        </w:tc>
        <w:tc>
          <w:tcPr>
            <w:tcW w:w="956" w:type="pct"/>
            <w:tcBorders>
              <w:top w:val="nil"/>
              <w:bottom w:val="single" w:sz="12" w:space="0" w:color="E2231A" w:themeColor="accent1"/>
            </w:tcBorders>
            <w:vAlign w:val="center"/>
          </w:tcPr>
          <w:p w14:paraId="77528B34" w14:textId="77777777" w:rsidR="008B3046" w:rsidRPr="00C56803" w:rsidRDefault="008B3046" w:rsidP="006D3C1D">
            <w:pPr>
              <w:pStyle w:val="Rango1Tablas"/>
              <w:spacing w:line="276" w:lineRule="auto"/>
              <w:jc w:val="center"/>
            </w:pPr>
            <w:r>
              <w:t>2020</w:t>
            </w:r>
          </w:p>
        </w:tc>
        <w:tc>
          <w:tcPr>
            <w:tcW w:w="884" w:type="pct"/>
            <w:tcBorders>
              <w:top w:val="nil"/>
              <w:bottom w:val="single" w:sz="12" w:space="0" w:color="E2231A" w:themeColor="accent1"/>
            </w:tcBorders>
            <w:vAlign w:val="center"/>
          </w:tcPr>
          <w:p w14:paraId="34B336C3" w14:textId="2569C67E" w:rsidR="008B3046" w:rsidRDefault="008B3046" w:rsidP="006D3C1D">
            <w:pPr>
              <w:pStyle w:val="Rango1Tablas"/>
              <w:spacing w:line="276" w:lineRule="auto"/>
              <w:jc w:val="center"/>
            </w:pPr>
            <w:r>
              <w:t>2021</w:t>
            </w:r>
          </w:p>
        </w:tc>
        <w:tc>
          <w:tcPr>
            <w:tcW w:w="879" w:type="pct"/>
            <w:tcBorders>
              <w:top w:val="nil"/>
              <w:bottom w:val="single" w:sz="12" w:space="0" w:color="E2231A" w:themeColor="accent1"/>
            </w:tcBorders>
            <w:vAlign w:val="center"/>
          </w:tcPr>
          <w:p w14:paraId="4841BFCA" w14:textId="4D1D3420" w:rsidR="008B3046" w:rsidRDefault="008B3046" w:rsidP="006D3C1D">
            <w:pPr>
              <w:pStyle w:val="Rango1Tablas"/>
              <w:spacing w:line="276" w:lineRule="auto"/>
              <w:jc w:val="center"/>
            </w:pPr>
            <w:r>
              <w:t>2022</w:t>
            </w:r>
          </w:p>
        </w:tc>
      </w:tr>
      <w:tr w:rsidR="008B3046" w14:paraId="368AFDA1" w14:textId="77777777" w:rsidTr="006D3C1D">
        <w:trPr>
          <w:trHeight w:val="227"/>
        </w:trPr>
        <w:tc>
          <w:tcPr>
            <w:tcW w:w="1252" w:type="pct"/>
            <w:vAlign w:val="center"/>
          </w:tcPr>
          <w:p w14:paraId="12B3818F" w14:textId="671AB864" w:rsidR="008B3046" w:rsidRPr="00A04252" w:rsidRDefault="008B3046" w:rsidP="001D30E0">
            <w:pPr>
              <w:pStyle w:val="DatosTabla"/>
              <w:jc w:val="left"/>
              <w:rPr>
                <w:szCs w:val="18"/>
              </w:rPr>
            </w:pPr>
            <w:r w:rsidRPr="00A04252">
              <w:rPr>
                <w:szCs w:val="18"/>
              </w:rPr>
              <w:t>Aguas residuales tratadas</w:t>
            </w:r>
          </w:p>
        </w:tc>
        <w:tc>
          <w:tcPr>
            <w:tcW w:w="1029" w:type="pct"/>
            <w:vAlign w:val="center"/>
          </w:tcPr>
          <w:p w14:paraId="0B7E00AD" w14:textId="7C814042" w:rsidR="008B3046" w:rsidRPr="00A04252" w:rsidRDefault="008B3046" w:rsidP="001D30E0">
            <w:pPr>
              <w:pStyle w:val="DatosTabla"/>
              <w:jc w:val="center"/>
              <w:rPr>
                <w:szCs w:val="18"/>
              </w:rPr>
            </w:pPr>
            <w:r w:rsidRPr="00A04252">
              <w:rPr>
                <w:szCs w:val="18"/>
              </w:rPr>
              <w:t>301.436</w:t>
            </w:r>
          </w:p>
        </w:tc>
        <w:tc>
          <w:tcPr>
            <w:tcW w:w="956" w:type="pct"/>
            <w:vAlign w:val="center"/>
          </w:tcPr>
          <w:p w14:paraId="7BECA963" w14:textId="1DD28152" w:rsidR="008B3046" w:rsidRPr="00A04252" w:rsidRDefault="008B3046" w:rsidP="001D30E0">
            <w:pPr>
              <w:pStyle w:val="DatosTabla"/>
              <w:jc w:val="center"/>
              <w:rPr>
                <w:szCs w:val="18"/>
              </w:rPr>
            </w:pPr>
            <w:r w:rsidRPr="00A04252">
              <w:rPr>
                <w:szCs w:val="18"/>
              </w:rPr>
              <w:t>298.182</w:t>
            </w:r>
          </w:p>
        </w:tc>
        <w:tc>
          <w:tcPr>
            <w:tcW w:w="884" w:type="pct"/>
            <w:vAlign w:val="center"/>
          </w:tcPr>
          <w:p w14:paraId="412B322D" w14:textId="15EF2987" w:rsidR="008B3046" w:rsidRPr="00A04252" w:rsidRDefault="008B3046" w:rsidP="001D30E0">
            <w:pPr>
              <w:pStyle w:val="DatosTabla"/>
              <w:jc w:val="center"/>
              <w:rPr>
                <w:szCs w:val="18"/>
              </w:rPr>
            </w:pPr>
            <w:r w:rsidRPr="00A04252">
              <w:rPr>
                <w:szCs w:val="18"/>
              </w:rPr>
              <w:t>296.783</w:t>
            </w:r>
          </w:p>
        </w:tc>
        <w:tc>
          <w:tcPr>
            <w:tcW w:w="879" w:type="pct"/>
            <w:vAlign w:val="center"/>
          </w:tcPr>
          <w:p w14:paraId="3130C1E3" w14:textId="2DE8838E" w:rsidR="008B3046" w:rsidRPr="00A04252" w:rsidRDefault="008B3046" w:rsidP="001D30E0">
            <w:pPr>
              <w:pStyle w:val="DatosTabla"/>
              <w:jc w:val="center"/>
              <w:rPr>
                <w:szCs w:val="18"/>
              </w:rPr>
            </w:pPr>
            <w:r w:rsidRPr="00A04252">
              <w:rPr>
                <w:szCs w:val="18"/>
              </w:rPr>
              <w:t>297.915</w:t>
            </w:r>
          </w:p>
        </w:tc>
      </w:tr>
      <w:tr w:rsidR="008B3046" w14:paraId="39CB235E" w14:textId="1D677543" w:rsidTr="006D3C1D">
        <w:trPr>
          <w:trHeight w:val="227"/>
        </w:trPr>
        <w:tc>
          <w:tcPr>
            <w:tcW w:w="1252" w:type="pct"/>
            <w:vAlign w:val="center"/>
          </w:tcPr>
          <w:p w14:paraId="314199CC" w14:textId="0E4445A8" w:rsidR="008B3046" w:rsidRPr="00A04252" w:rsidRDefault="008B3046" w:rsidP="001D30E0">
            <w:pPr>
              <w:pStyle w:val="DatosTabla"/>
              <w:numPr>
                <w:ilvl w:val="0"/>
                <w:numId w:val="6"/>
              </w:numPr>
              <w:jc w:val="left"/>
              <w:rPr>
                <w:szCs w:val="18"/>
              </w:rPr>
            </w:pPr>
            <w:r w:rsidRPr="00A04252">
              <w:rPr>
                <w:szCs w:val="18"/>
              </w:rPr>
              <w:t>Tratamiento primario</w:t>
            </w:r>
          </w:p>
        </w:tc>
        <w:tc>
          <w:tcPr>
            <w:tcW w:w="1029" w:type="pct"/>
            <w:vAlign w:val="center"/>
          </w:tcPr>
          <w:p w14:paraId="2DB6B74B" w14:textId="23490CEA" w:rsidR="008B3046" w:rsidRPr="00A04252" w:rsidRDefault="008B3046" w:rsidP="001D30E0">
            <w:pPr>
              <w:pStyle w:val="DatosTabla"/>
              <w:jc w:val="center"/>
              <w:rPr>
                <w:szCs w:val="18"/>
              </w:rPr>
            </w:pPr>
            <w:r w:rsidRPr="00A04252">
              <w:rPr>
                <w:szCs w:val="18"/>
              </w:rPr>
              <w:t>74</w:t>
            </w:r>
            <w:r w:rsidR="00710C0F" w:rsidRPr="00A04252">
              <w:rPr>
                <w:szCs w:val="18"/>
              </w:rPr>
              <w:t>.</w:t>
            </w:r>
            <w:r w:rsidRPr="00A04252">
              <w:rPr>
                <w:szCs w:val="18"/>
              </w:rPr>
              <w:t>759</w:t>
            </w:r>
          </w:p>
        </w:tc>
        <w:tc>
          <w:tcPr>
            <w:tcW w:w="956" w:type="pct"/>
            <w:vAlign w:val="center"/>
          </w:tcPr>
          <w:p w14:paraId="55A296BB" w14:textId="7673FF9D" w:rsidR="008B3046" w:rsidRPr="00A04252" w:rsidRDefault="008B3046" w:rsidP="001D30E0">
            <w:pPr>
              <w:pStyle w:val="DatosTabla"/>
              <w:jc w:val="center"/>
              <w:rPr>
                <w:szCs w:val="18"/>
              </w:rPr>
            </w:pPr>
            <w:r w:rsidRPr="00A04252">
              <w:rPr>
                <w:szCs w:val="18"/>
              </w:rPr>
              <w:t>70</w:t>
            </w:r>
            <w:r w:rsidR="00710C0F" w:rsidRPr="00A04252">
              <w:rPr>
                <w:szCs w:val="18"/>
              </w:rPr>
              <w:t>.</w:t>
            </w:r>
            <w:r w:rsidRPr="00A04252">
              <w:rPr>
                <w:szCs w:val="18"/>
              </w:rPr>
              <w:t>202</w:t>
            </w:r>
          </w:p>
        </w:tc>
        <w:tc>
          <w:tcPr>
            <w:tcW w:w="884" w:type="pct"/>
            <w:vAlign w:val="center"/>
          </w:tcPr>
          <w:p w14:paraId="597D5FA5" w14:textId="381A2CC9" w:rsidR="008B3046" w:rsidRPr="00A04252" w:rsidRDefault="008B3046" w:rsidP="001D30E0">
            <w:pPr>
              <w:pStyle w:val="DatosTabla"/>
              <w:jc w:val="center"/>
              <w:rPr>
                <w:szCs w:val="18"/>
              </w:rPr>
            </w:pPr>
            <w:r w:rsidRPr="00A04252">
              <w:rPr>
                <w:szCs w:val="18"/>
              </w:rPr>
              <w:t>60</w:t>
            </w:r>
            <w:r w:rsidR="00710C0F" w:rsidRPr="00A04252">
              <w:rPr>
                <w:szCs w:val="18"/>
              </w:rPr>
              <w:t>.</w:t>
            </w:r>
            <w:r w:rsidRPr="00A04252">
              <w:rPr>
                <w:szCs w:val="18"/>
              </w:rPr>
              <w:t>118</w:t>
            </w:r>
          </w:p>
        </w:tc>
        <w:tc>
          <w:tcPr>
            <w:tcW w:w="879" w:type="pct"/>
            <w:vAlign w:val="center"/>
          </w:tcPr>
          <w:p w14:paraId="250A4CC1" w14:textId="5EC1C06B" w:rsidR="008B3046" w:rsidRPr="00A04252" w:rsidRDefault="008B3046" w:rsidP="001D30E0">
            <w:pPr>
              <w:pStyle w:val="DatosTabla"/>
              <w:jc w:val="center"/>
              <w:rPr>
                <w:szCs w:val="18"/>
              </w:rPr>
            </w:pPr>
            <w:r w:rsidRPr="00A04252">
              <w:rPr>
                <w:szCs w:val="18"/>
              </w:rPr>
              <w:t>63</w:t>
            </w:r>
            <w:r w:rsidR="00710C0F" w:rsidRPr="00A04252">
              <w:rPr>
                <w:szCs w:val="18"/>
              </w:rPr>
              <w:t>.</w:t>
            </w:r>
            <w:r w:rsidRPr="00A04252">
              <w:rPr>
                <w:szCs w:val="18"/>
              </w:rPr>
              <w:t>064</w:t>
            </w:r>
          </w:p>
        </w:tc>
      </w:tr>
      <w:tr w:rsidR="008B3046" w14:paraId="4EB3BB99" w14:textId="172F518C" w:rsidTr="006D3C1D">
        <w:trPr>
          <w:trHeight w:val="227"/>
        </w:trPr>
        <w:tc>
          <w:tcPr>
            <w:tcW w:w="1252" w:type="pct"/>
            <w:vAlign w:val="center"/>
          </w:tcPr>
          <w:p w14:paraId="4118B29A" w14:textId="76BEFB1A" w:rsidR="008B3046" w:rsidRPr="00A04252" w:rsidRDefault="008B3046" w:rsidP="001D30E0">
            <w:pPr>
              <w:pStyle w:val="DatosTabla"/>
              <w:numPr>
                <w:ilvl w:val="0"/>
                <w:numId w:val="6"/>
              </w:numPr>
              <w:jc w:val="left"/>
              <w:rPr>
                <w:szCs w:val="18"/>
              </w:rPr>
            </w:pPr>
            <w:r w:rsidRPr="00A04252">
              <w:rPr>
                <w:szCs w:val="18"/>
              </w:rPr>
              <w:t>Tratamiento secundario</w:t>
            </w:r>
          </w:p>
        </w:tc>
        <w:tc>
          <w:tcPr>
            <w:tcW w:w="1029" w:type="pct"/>
            <w:vAlign w:val="center"/>
          </w:tcPr>
          <w:p w14:paraId="71DD8F92" w14:textId="2CA4DA3B" w:rsidR="008B3046" w:rsidRPr="00A04252" w:rsidRDefault="008B3046" w:rsidP="001D30E0">
            <w:pPr>
              <w:pStyle w:val="DatosTabla"/>
              <w:jc w:val="center"/>
              <w:rPr>
                <w:szCs w:val="18"/>
              </w:rPr>
            </w:pPr>
            <w:r w:rsidRPr="00A04252">
              <w:rPr>
                <w:szCs w:val="18"/>
              </w:rPr>
              <w:t>200</w:t>
            </w:r>
            <w:r w:rsidR="00710C0F" w:rsidRPr="00A04252">
              <w:rPr>
                <w:szCs w:val="18"/>
              </w:rPr>
              <w:t>.</w:t>
            </w:r>
            <w:r w:rsidRPr="00A04252">
              <w:rPr>
                <w:szCs w:val="18"/>
              </w:rPr>
              <w:t>468</w:t>
            </w:r>
          </w:p>
        </w:tc>
        <w:tc>
          <w:tcPr>
            <w:tcW w:w="956" w:type="pct"/>
            <w:vAlign w:val="center"/>
          </w:tcPr>
          <w:p w14:paraId="5BD9B5F8" w14:textId="489E7933" w:rsidR="008B3046" w:rsidRPr="00A04252" w:rsidRDefault="008B3046" w:rsidP="001D30E0">
            <w:pPr>
              <w:pStyle w:val="DatosTabla"/>
              <w:jc w:val="center"/>
              <w:rPr>
                <w:szCs w:val="18"/>
              </w:rPr>
            </w:pPr>
            <w:r w:rsidRPr="00A04252">
              <w:rPr>
                <w:szCs w:val="18"/>
              </w:rPr>
              <w:t>199</w:t>
            </w:r>
            <w:r w:rsidR="00710C0F" w:rsidRPr="00A04252">
              <w:rPr>
                <w:szCs w:val="18"/>
              </w:rPr>
              <w:t>.</w:t>
            </w:r>
            <w:r w:rsidRPr="00A04252">
              <w:rPr>
                <w:szCs w:val="18"/>
              </w:rPr>
              <w:t>940</w:t>
            </w:r>
          </w:p>
        </w:tc>
        <w:tc>
          <w:tcPr>
            <w:tcW w:w="884" w:type="pct"/>
            <w:vAlign w:val="center"/>
          </w:tcPr>
          <w:p w14:paraId="4A26D484" w14:textId="0D2F72C5" w:rsidR="008B3046" w:rsidRPr="00A04252" w:rsidRDefault="008B3046" w:rsidP="001D30E0">
            <w:pPr>
              <w:pStyle w:val="DatosTabla"/>
              <w:jc w:val="center"/>
              <w:rPr>
                <w:szCs w:val="18"/>
              </w:rPr>
            </w:pPr>
            <w:r w:rsidRPr="00A04252">
              <w:rPr>
                <w:szCs w:val="18"/>
              </w:rPr>
              <w:t>207</w:t>
            </w:r>
            <w:r w:rsidR="00710C0F" w:rsidRPr="00A04252">
              <w:rPr>
                <w:szCs w:val="18"/>
              </w:rPr>
              <w:t>.</w:t>
            </w:r>
            <w:r w:rsidRPr="00A04252">
              <w:rPr>
                <w:szCs w:val="18"/>
              </w:rPr>
              <w:t>538</w:t>
            </w:r>
          </w:p>
        </w:tc>
        <w:tc>
          <w:tcPr>
            <w:tcW w:w="879" w:type="pct"/>
            <w:vAlign w:val="center"/>
          </w:tcPr>
          <w:p w14:paraId="0D581BA3" w14:textId="70652287" w:rsidR="008B3046" w:rsidRPr="00A04252" w:rsidRDefault="008B3046" w:rsidP="001D30E0">
            <w:pPr>
              <w:pStyle w:val="DatosTabla"/>
              <w:jc w:val="center"/>
              <w:rPr>
                <w:szCs w:val="18"/>
              </w:rPr>
            </w:pPr>
            <w:r w:rsidRPr="00A04252">
              <w:rPr>
                <w:szCs w:val="18"/>
              </w:rPr>
              <w:t>200</w:t>
            </w:r>
            <w:r w:rsidR="00710C0F" w:rsidRPr="00A04252">
              <w:rPr>
                <w:szCs w:val="18"/>
              </w:rPr>
              <w:t>.</w:t>
            </w:r>
            <w:r w:rsidRPr="00A04252">
              <w:rPr>
                <w:szCs w:val="18"/>
              </w:rPr>
              <w:t>854</w:t>
            </w:r>
          </w:p>
        </w:tc>
      </w:tr>
      <w:tr w:rsidR="008B3046" w14:paraId="21209605" w14:textId="08290367" w:rsidTr="006D3C1D">
        <w:trPr>
          <w:trHeight w:val="227"/>
        </w:trPr>
        <w:tc>
          <w:tcPr>
            <w:tcW w:w="1252" w:type="pct"/>
            <w:vAlign w:val="center"/>
          </w:tcPr>
          <w:p w14:paraId="6030A8C8" w14:textId="56468BDC" w:rsidR="008B3046" w:rsidRPr="00A04252" w:rsidRDefault="008B3046" w:rsidP="001D30E0">
            <w:pPr>
              <w:pStyle w:val="DatosTabla"/>
              <w:numPr>
                <w:ilvl w:val="0"/>
                <w:numId w:val="6"/>
              </w:numPr>
              <w:jc w:val="left"/>
              <w:rPr>
                <w:szCs w:val="18"/>
              </w:rPr>
            </w:pPr>
            <w:r w:rsidRPr="00A04252">
              <w:rPr>
                <w:szCs w:val="18"/>
              </w:rPr>
              <w:t>Tratamiento terciario</w:t>
            </w:r>
          </w:p>
        </w:tc>
        <w:tc>
          <w:tcPr>
            <w:tcW w:w="1029" w:type="pct"/>
            <w:vAlign w:val="center"/>
          </w:tcPr>
          <w:p w14:paraId="23463B92" w14:textId="12D383C7" w:rsidR="008B3046" w:rsidRPr="00A04252" w:rsidRDefault="008B3046" w:rsidP="001D30E0">
            <w:pPr>
              <w:pStyle w:val="DatosTabla"/>
              <w:jc w:val="center"/>
              <w:rPr>
                <w:szCs w:val="18"/>
              </w:rPr>
            </w:pPr>
            <w:r w:rsidRPr="00A04252">
              <w:rPr>
                <w:szCs w:val="18"/>
              </w:rPr>
              <w:t>26</w:t>
            </w:r>
            <w:r w:rsidR="00710C0F" w:rsidRPr="00A04252">
              <w:rPr>
                <w:szCs w:val="18"/>
              </w:rPr>
              <w:t>.</w:t>
            </w:r>
            <w:r w:rsidRPr="00A04252">
              <w:rPr>
                <w:szCs w:val="18"/>
              </w:rPr>
              <w:t>209</w:t>
            </w:r>
          </w:p>
        </w:tc>
        <w:tc>
          <w:tcPr>
            <w:tcW w:w="956" w:type="pct"/>
            <w:vAlign w:val="center"/>
          </w:tcPr>
          <w:p w14:paraId="586826CE" w14:textId="4869FEA8" w:rsidR="008B3046" w:rsidRPr="00A04252" w:rsidRDefault="008B3046" w:rsidP="001D30E0">
            <w:pPr>
              <w:pStyle w:val="DatosTabla"/>
              <w:jc w:val="center"/>
              <w:rPr>
                <w:szCs w:val="18"/>
              </w:rPr>
            </w:pPr>
            <w:r w:rsidRPr="00A04252">
              <w:rPr>
                <w:szCs w:val="18"/>
              </w:rPr>
              <w:t>28</w:t>
            </w:r>
            <w:r w:rsidR="00710C0F" w:rsidRPr="00A04252">
              <w:rPr>
                <w:szCs w:val="18"/>
              </w:rPr>
              <w:t>.</w:t>
            </w:r>
            <w:r w:rsidRPr="00A04252">
              <w:rPr>
                <w:szCs w:val="18"/>
              </w:rPr>
              <w:t>040</w:t>
            </w:r>
          </w:p>
        </w:tc>
        <w:tc>
          <w:tcPr>
            <w:tcW w:w="884" w:type="pct"/>
            <w:vAlign w:val="center"/>
          </w:tcPr>
          <w:p w14:paraId="2EA593B7" w14:textId="2EE95BCA" w:rsidR="008B3046" w:rsidRPr="00A04252" w:rsidRDefault="008B3046" w:rsidP="001D30E0">
            <w:pPr>
              <w:pStyle w:val="DatosTabla"/>
              <w:jc w:val="center"/>
              <w:rPr>
                <w:szCs w:val="18"/>
              </w:rPr>
            </w:pPr>
            <w:r w:rsidRPr="00A04252">
              <w:rPr>
                <w:szCs w:val="18"/>
              </w:rPr>
              <w:t>29</w:t>
            </w:r>
            <w:r w:rsidR="00710C0F" w:rsidRPr="00A04252">
              <w:rPr>
                <w:szCs w:val="18"/>
              </w:rPr>
              <w:t>.</w:t>
            </w:r>
            <w:r w:rsidRPr="00A04252">
              <w:rPr>
                <w:szCs w:val="18"/>
              </w:rPr>
              <w:t>127</w:t>
            </w:r>
          </w:p>
        </w:tc>
        <w:tc>
          <w:tcPr>
            <w:tcW w:w="879" w:type="pct"/>
            <w:vAlign w:val="center"/>
          </w:tcPr>
          <w:p w14:paraId="287428F6" w14:textId="28789128" w:rsidR="008B3046" w:rsidRPr="00A04252" w:rsidRDefault="008B3046" w:rsidP="001D30E0">
            <w:pPr>
              <w:pStyle w:val="DatosTabla"/>
              <w:jc w:val="center"/>
              <w:rPr>
                <w:szCs w:val="18"/>
              </w:rPr>
            </w:pPr>
            <w:r w:rsidRPr="00A04252">
              <w:rPr>
                <w:szCs w:val="18"/>
              </w:rPr>
              <w:t>33</w:t>
            </w:r>
            <w:r w:rsidR="00710C0F" w:rsidRPr="00A04252">
              <w:rPr>
                <w:szCs w:val="18"/>
              </w:rPr>
              <w:t>.</w:t>
            </w:r>
            <w:r w:rsidRPr="00A04252">
              <w:rPr>
                <w:szCs w:val="18"/>
              </w:rPr>
              <w:t>997</w:t>
            </w:r>
          </w:p>
        </w:tc>
      </w:tr>
      <w:tr w:rsidR="008B3046" w14:paraId="471A2F83" w14:textId="0B543518" w:rsidTr="006D3C1D">
        <w:trPr>
          <w:trHeight w:val="227"/>
        </w:trPr>
        <w:tc>
          <w:tcPr>
            <w:tcW w:w="1252" w:type="pct"/>
            <w:shd w:val="clear" w:color="auto" w:fill="auto"/>
            <w:vAlign w:val="center"/>
          </w:tcPr>
          <w:p w14:paraId="7A27FCAE" w14:textId="692C009A" w:rsidR="008B3046" w:rsidRPr="00A04252" w:rsidRDefault="008B3046" w:rsidP="001D30E0">
            <w:pPr>
              <w:pStyle w:val="DatosTabla"/>
              <w:jc w:val="left"/>
              <w:rPr>
                <w:szCs w:val="18"/>
              </w:rPr>
            </w:pPr>
            <w:r w:rsidRPr="00A04252">
              <w:rPr>
                <w:szCs w:val="18"/>
              </w:rPr>
              <w:t>Aguas residuales no tratadas vertidas</w:t>
            </w:r>
          </w:p>
        </w:tc>
        <w:tc>
          <w:tcPr>
            <w:tcW w:w="1029" w:type="pct"/>
            <w:shd w:val="clear" w:color="auto" w:fill="auto"/>
            <w:vAlign w:val="center"/>
          </w:tcPr>
          <w:p w14:paraId="34193F4B" w14:textId="2C55D09D" w:rsidR="008B3046" w:rsidRPr="00A04252" w:rsidRDefault="008B3046" w:rsidP="001D30E0">
            <w:pPr>
              <w:pStyle w:val="DatosTabla"/>
              <w:jc w:val="center"/>
              <w:rPr>
                <w:szCs w:val="18"/>
              </w:rPr>
            </w:pPr>
            <w:r w:rsidRPr="00A04252">
              <w:rPr>
                <w:szCs w:val="18"/>
              </w:rPr>
              <w:t>59.923</w:t>
            </w:r>
          </w:p>
        </w:tc>
        <w:tc>
          <w:tcPr>
            <w:tcW w:w="956" w:type="pct"/>
            <w:shd w:val="clear" w:color="auto" w:fill="auto"/>
            <w:vAlign w:val="center"/>
          </w:tcPr>
          <w:p w14:paraId="479DE8B4" w14:textId="49D765B3" w:rsidR="008B3046" w:rsidRPr="00A04252" w:rsidRDefault="008B3046" w:rsidP="001D30E0">
            <w:pPr>
              <w:pStyle w:val="DatosTabla"/>
              <w:jc w:val="center"/>
              <w:rPr>
                <w:szCs w:val="18"/>
              </w:rPr>
            </w:pPr>
            <w:r w:rsidRPr="00A04252">
              <w:rPr>
                <w:szCs w:val="18"/>
              </w:rPr>
              <w:t>57.967</w:t>
            </w:r>
          </w:p>
        </w:tc>
        <w:tc>
          <w:tcPr>
            <w:tcW w:w="884" w:type="pct"/>
            <w:shd w:val="clear" w:color="auto" w:fill="auto"/>
            <w:vAlign w:val="center"/>
          </w:tcPr>
          <w:p w14:paraId="0FF50DAC" w14:textId="6F8B49CF" w:rsidR="008B3046" w:rsidRPr="00A04252" w:rsidRDefault="008B3046" w:rsidP="001D30E0">
            <w:pPr>
              <w:pStyle w:val="DatosTabla"/>
              <w:jc w:val="center"/>
              <w:rPr>
                <w:szCs w:val="18"/>
              </w:rPr>
            </w:pPr>
            <w:r w:rsidRPr="00A04252">
              <w:rPr>
                <w:szCs w:val="18"/>
              </w:rPr>
              <w:t>59.764</w:t>
            </w:r>
          </w:p>
        </w:tc>
        <w:tc>
          <w:tcPr>
            <w:tcW w:w="879" w:type="pct"/>
            <w:shd w:val="clear" w:color="auto" w:fill="auto"/>
            <w:vAlign w:val="center"/>
          </w:tcPr>
          <w:p w14:paraId="38859763" w14:textId="3FFD002E" w:rsidR="008B3046" w:rsidRPr="00A04252" w:rsidRDefault="008B3046" w:rsidP="001D30E0">
            <w:pPr>
              <w:pStyle w:val="DatosTabla"/>
              <w:jc w:val="center"/>
              <w:rPr>
                <w:szCs w:val="18"/>
              </w:rPr>
            </w:pPr>
            <w:r w:rsidRPr="00A04252">
              <w:rPr>
                <w:szCs w:val="18"/>
              </w:rPr>
              <w:t>56.604</w:t>
            </w:r>
          </w:p>
        </w:tc>
      </w:tr>
      <w:tr w:rsidR="008A2F26" w14:paraId="51C5A180" w14:textId="77777777" w:rsidTr="006D3C1D">
        <w:trPr>
          <w:trHeight w:val="227"/>
        </w:trPr>
        <w:tc>
          <w:tcPr>
            <w:tcW w:w="1252" w:type="pct"/>
            <w:shd w:val="clear" w:color="auto" w:fill="F9D2D0" w:themeFill="accent1" w:themeFillTint="33"/>
            <w:vAlign w:val="center"/>
          </w:tcPr>
          <w:p w14:paraId="34E348A8" w14:textId="6643B214" w:rsidR="008A2F26" w:rsidRPr="00A04252" w:rsidRDefault="008A2F26" w:rsidP="001D30E0">
            <w:pPr>
              <w:pStyle w:val="DatosTabla"/>
              <w:jc w:val="left"/>
              <w:rPr>
                <w:szCs w:val="18"/>
              </w:rPr>
            </w:pPr>
            <w:r w:rsidRPr="00A04252">
              <w:rPr>
                <w:b/>
                <w:bCs/>
                <w:szCs w:val="18"/>
              </w:rPr>
              <w:t>Aguas residuales - Total</w:t>
            </w:r>
          </w:p>
        </w:tc>
        <w:tc>
          <w:tcPr>
            <w:tcW w:w="1029" w:type="pct"/>
            <w:shd w:val="clear" w:color="auto" w:fill="F9D2D0" w:themeFill="accent1" w:themeFillTint="33"/>
            <w:vAlign w:val="center"/>
          </w:tcPr>
          <w:p w14:paraId="0E6736BE" w14:textId="1DE7CD94" w:rsidR="008A2F26" w:rsidRPr="00A04252" w:rsidRDefault="008A2F26" w:rsidP="001D30E0">
            <w:pPr>
              <w:pStyle w:val="DatosTabla"/>
              <w:jc w:val="center"/>
              <w:rPr>
                <w:szCs w:val="18"/>
              </w:rPr>
            </w:pPr>
            <w:r w:rsidRPr="00A04252">
              <w:rPr>
                <w:b/>
                <w:bCs/>
                <w:szCs w:val="18"/>
              </w:rPr>
              <w:t>361.359</w:t>
            </w:r>
          </w:p>
        </w:tc>
        <w:tc>
          <w:tcPr>
            <w:tcW w:w="956" w:type="pct"/>
            <w:shd w:val="clear" w:color="auto" w:fill="F9D2D0" w:themeFill="accent1" w:themeFillTint="33"/>
            <w:vAlign w:val="center"/>
          </w:tcPr>
          <w:p w14:paraId="28ABC51B" w14:textId="60C6718B" w:rsidR="008A2F26" w:rsidRPr="00A04252" w:rsidRDefault="008A2F26" w:rsidP="001D30E0">
            <w:pPr>
              <w:pStyle w:val="DatosTabla"/>
              <w:jc w:val="center"/>
              <w:rPr>
                <w:szCs w:val="18"/>
              </w:rPr>
            </w:pPr>
            <w:r w:rsidRPr="00A04252">
              <w:rPr>
                <w:b/>
                <w:bCs/>
                <w:szCs w:val="18"/>
              </w:rPr>
              <w:t>356.149</w:t>
            </w:r>
          </w:p>
        </w:tc>
        <w:tc>
          <w:tcPr>
            <w:tcW w:w="884" w:type="pct"/>
            <w:shd w:val="clear" w:color="auto" w:fill="F9D2D0" w:themeFill="accent1" w:themeFillTint="33"/>
            <w:vAlign w:val="center"/>
          </w:tcPr>
          <w:p w14:paraId="60B56B7B" w14:textId="37FEC5FA" w:rsidR="008A2F26" w:rsidRPr="00A04252" w:rsidRDefault="008A2F26" w:rsidP="001D30E0">
            <w:pPr>
              <w:pStyle w:val="DatosTabla"/>
              <w:jc w:val="center"/>
              <w:rPr>
                <w:szCs w:val="18"/>
              </w:rPr>
            </w:pPr>
            <w:r w:rsidRPr="00A04252">
              <w:rPr>
                <w:b/>
                <w:bCs/>
                <w:szCs w:val="18"/>
              </w:rPr>
              <w:t>356.547</w:t>
            </w:r>
          </w:p>
        </w:tc>
        <w:tc>
          <w:tcPr>
            <w:tcW w:w="879" w:type="pct"/>
            <w:shd w:val="clear" w:color="auto" w:fill="F9D2D0" w:themeFill="accent1" w:themeFillTint="33"/>
            <w:vAlign w:val="center"/>
          </w:tcPr>
          <w:p w14:paraId="2AE9433F" w14:textId="43FDD18D" w:rsidR="008A2F26" w:rsidRPr="00A04252" w:rsidRDefault="008A2F26" w:rsidP="001D30E0">
            <w:pPr>
              <w:pStyle w:val="DatosTabla"/>
              <w:jc w:val="center"/>
              <w:rPr>
                <w:szCs w:val="18"/>
              </w:rPr>
            </w:pPr>
            <w:r w:rsidRPr="00A04252">
              <w:rPr>
                <w:b/>
                <w:bCs/>
                <w:szCs w:val="18"/>
              </w:rPr>
              <w:t>354.519</w:t>
            </w:r>
          </w:p>
        </w:tc>
      </w:tr>
    </w:tbl>
    <w:p w14:paraId="529D9EFD" w14:textId="2E46CA42" w:rsidR="00A11FD1" w:rsidRDefault="00A11FD1" w:rsidP="001D30E0">
      <w:pPr>
        <w:pStyle w:val="Piedetablaygrfico"/>
        <w:spacing w:after="240"/>
      </w:pPr>
      <w:r>
        <w:t>Fuente: Oficina de Estadísticas de Croacia</w:t>
      </w:r>
      <w:r w:rsidR="002F76CC">
        <w:t>.</w:t>
      </w:r>
      <w:r w:rsidR="00AC69D7">
        <w:rPr>
          <w:rStyle w:val="Refdenotaalpie"/>
        </w:rPr>
        <w:footnoteReference w:id="21"/>
      </w:r>
    </w:p>
    <w:p w14:paraId="62954A09" w14:textId="17F44FFF" w:rsidR="00D35691" w:rsidRPr="007A54D4" w:rsidRDefault="007A54D4" w:rsidP="00036BDD">
      <w:pPr>
        <w:rPr>
          <w:lang w:val="es-ES" w:eastAsia="es-ES"/>
        </w:rPr>
      </w:pPr>
      <w:r w:rsidRPr="00AB3E41">
        <w:rPr>
          <w:lang w:val="es-ES" w:eastAsia="es-ES"/>
        </w:rPr>
        <w:t xml:space="preserve">En relación con los </w:t>
      </w:r>
      <w:r w:rsidRPr="00AB3E41">
        <w:rPr>
          <w:b/>
          <w:bCs/>
          <w:lang w:val="es-ES" w:eastAsia="es-ES"/>
        </w:rPr>
        <w:t>sistemas de alcantarillado</w:t>
      </w:r>
      <w:r w:rsidRPr="00AB3E41">
        <w:rPr>
          <w:lang w:val="es-ES" w:eastAsia="es-ES"/>
        </w:rPr>
        <w:t xml:space="preserve">, </w:t>
      </w:r>
      <w:r w:rsidRPr="00E67352">
        <w:rPr>
          <w:lang w:val="es-ES" w:eastAsia="es-ES"/>
        </w:rPr>
        <w:t xml:space="preserve">concentrados en zonas urbanas e industriales, </w:t>
      </w:r>
      <w:r w:rsidRPr="00E67352">
        <w:rPr>
          <w:u w:val="single"/>
          <w:lang w:val="es-ES" w:eastAsia="es-ES"/>
        </w:rPr>
        <w:t>manejan menos del 35</w:t>
      </w:r>
      <w:r w:rsidR="00D0081F">
        <w:rPr>
          <w:u w:val="single"/>
          <w:lang w:val="es-ES" w:eastAsia="es-ES"/>
        </w:rPr>
        <w:t xml:space="preserve"> </w:t>
      </w:r>
      <w:r w:rsidRPr="00E67352">
        <w:rPr>
          <w:u w:val="single"/>
          <w:lang w:val="es-ES" w:eastAsia="es-ES"/>
        </w:rPr>
        <w:t>% del total de aguas residuales tratadas</w:t>
      </w:r>
      <w:r w:rsidRPr="00E67352">
        <w:rPr>
          <w:lang w:val="es-ES" w:eastAsia="es-ES"/>
        </w:rPr>
        <w:t xml:space="preserve">. </w:t>
      </w:r>
      <w:r>
        <w:rPr>
          <w:lang w:val="es-ES" w:eastAsia="es-ES"/>
        </w:rPr>
        <w:t>En base a datos de</w:t>
      </w:r>
      <w:r w:rsidRPr="00E67352">
        <w:rPr>
          <w:lang w:val="es-ES" w:eastAsia="es-ES"/>
        </w:rPr>
        <w:t xml:space="preserve"> 2022, la Oficina de Estadística de Croacia reportó un incremento</w:t>
      </w:r>
      <w:r>
        <w:rPr>
          <w:lang w:val="es-ES" w:eastAsia="es-ES"/>
        </w:rPr>
        <w:t xml:space="preserve"> con respecto al año anterior</w:t>
      </w:r>
      <w:r w:rsidRPr="00E67352">
        <w:rPr>
          <w:lang w:val="es-ES" w:eastAsia="es-ES"/>
        </w:rPr>
        <w:t xml:space="preserve"> del 0,4</w:t>
      </w:r>
      <w:r w:rsidR="00D0081F">
        <w:rPr>
          <w:lang w:val="es-ES" w:eastAsia="es-ES"/>
        </w:rPr>
        <w:t xml:space="preserve"> </w:t>
      </w:r>
      <w:r w:rsidRPr="00E67352">
        <w:rPr>
          <w:lang w:val="es-ES" w:eastAsia="es-ES"/>
        </w:rPr>
        <w:t xml:space="preserve">% en el tratamiento de aguas residuales, alcanzando los 297.915 mil m³, aunque aún 56.604 mil m³ no se trataron. </w:t>
      </w:r>
      <w:r>
        <w:rPr>
          <w:lang w:val="es-ES" w:eastAsia="es-ES"/>
        </w:rPr>
        <w:t>En 2022</w:t>
      </w:r>
      <w:r w:rsidRPr="00E67352">
        <w:rPr>
          <w:lang w:val="es-ES" w:eastAsia="es-ES"/>
        </w:rPr>
        <w:t>, el país contaba con 186 plantas de tratamiento y la red de alcantarillado público se expandió en un 3,8</w:t>
      </w:r>
      <w:r w:rsidR="00D0081F">
        <w:rPr>
          <w:lang w:val="es-ES" w:eastAsia="es-ES"/>
        </w:rPr>
        <w:t xml:space="preserve"> </w:t>
      </w:r>
      <w:r w:rsidRPr="00E67352">
        <w:rPr>
          <w:lang w:val="es-ES" w:eastAsia="es-ES"/>
        </w:rPr>
        <w:t>%, llegando a 14.179 km.</w:t>
      </w:r>
      <w:r>
        <w:rPr>
          <w:rStyle w:val="Refdenotaalpie"/>
          <w:lang w:val="es-ES" w:eastAsia="es-ES"/>
        </w:rPr>
        <w:footnoteReference w:id="22"/>
      </w:r>
      <w:r w:rsidRPr="00E67352">
        <w:rPr>
          <w:lang w:val="es-ES" w:eastAsia="es-ES"/>
        </w:rPr>
        <w:t xml:space="preserve"> A pesar de estos avances, </w:t>
      </w:r>
      <w:r>
        <w:rPr>
          <w:lang w:val="es-ES" w:eastAsia="es-ES"/>
        </w:rPr>
        <w:t xml:space="preserve">las Naciones Unidas resaltan que </w:t>
      </w:r>
      <w:r w:rsidRPr="00E67352">
        <w:rPr>
          <w:lang w:val="es-ES" w:eastAsia="es-ES"/>
        </w:rPr>
        <w:t xml:space="preserve">solo el </w:t>
      </w:r>
      <w:r w:rsidRPr="00C166C2">
        <w:rPr>
          <w:u w:val="single"/>
          <w:lang w:val="es-ES" w:eastAsia="es-ES"/>
        </w:rPr>
        <w:t>34</w:t>
      </w:r>
      <w:r w:rsidR="00D0081F">
        <w:rPr>
          <w:u w:val="single"/>
          <w:lang w:val="es-ES" w:eastAsia="es-ES"/>
        </w:rPr>
        <w:t xml:space="preserve"> </w:t>
      </w:r>
      <w:r w:rsidRPr="00C166C2">
        <w:rPr>
          <w:u w:val="single"/>
          <w:lang w:val="es-ES" w:eastAsia="es-ES"/>
        </w:rPr>
        <w:t>% de las aguas residuales domésticas son tratadas de manera segura</w:t>
      </w:r>
      <w:r w:rsidRPr="00E67352">
        <w:rPr>
          <w:lang w:val="es-ES" w:eastAsia="es-ES"/>
        </w:rPr>
        <w:t>, resaltando la necesidad de invertir y mejorar.</w:t>
      </w:r>
      <w:r>
        <w:rPr>
          <w:rStyle w:val="Refdenotaalpie"/>
          <w:lang w:val="es-ES" w:eastAsia="es-ES"/>
        </w:rPr>
        <w:footnoteReference w:id="23"/>
      </w:r>
    </w:p>
    <w:p w14:paraId="7A17581F" w14:textId="202F512F" w:rsidR="00503C74" w:rsidRDefault="00503C74" w:rsidP="00F821BE">
      <w:pPr>
        <w:pStyle w:val="TtuloTablas"/>
      </w:pPr>
      <w:r>
        <w:t>TABLa</w:t>
      </w:r>
      <w:r w:rsidR="00B46777">
        <w:t xml:space="preserve"> </w:t>
      </w:r>
      <w:r w:rsidR="00530B29">
        <w:t>5</w:t>
      </w:r>
      <w:r w:rsidR="00B46777">
        <w:t>:</w:t>
      </w:r>
      <w:r>
        <w:t xml:space="preserve">  REd de alcantarillado en croacia</w:t>
      </w:r>
    </w:p>
    <w:p w14:paraId="524A32D1" w14:textId="69701FB0" w:rsidR="00F821BE" w:rsidRPr="00F821BE" w:rsidRDefault="00F821BE" w:rsidP="00F821BE">
      <w:pPr>
        <w:pStyle w:val="Subttuloparatablasygrficos"/>
        <w:spacing w:after="0"/>
      </w:pPr>
      <w:r>
        <w:t>(en km)</w:t>
      </w:r>
    </w:p>
    <w:tbl>
      <w:tblPr>
        <w:tblStyle w:val="Tabladelista2-nfasis1"/>
        <w:tblW w:w="9707" w:type="dxa"/>
        <w:tblLook w:val="0620" w:firstRow="1" w:lastRow="0" w:firstColumn="0" w:lastColumn="0" w:noHBand="1" w:noVBand="1"/>
      </w:tblPr>
      <w:tblGrid>
        <w:gridCol w:w="1213"/>
        <w:gridCol w:w="1213"/>
        <w:gridCol w:w="1214"/>
        <w:gridCol w:w="1213"/>
        <w:gridCol w:w="1213"/>
        <w:gridCol w:w="1214"/>
        <w:gridCol w:w="1213"/>
        <w:gridCol w:w="1214"/>
      </w:tblGrid>
      <w:tr w:rsidR="00F821BE" w14:paraId="140D27EB" w14:textId="77777777" w:rsidTr="006D3C1D">
        <w:trPr>
          <w:cnfStyle w:val="100000000000" w:firstRow="1" w:lastRow="0" w:firstColumn="0" w:lastColumn="0" w:oddVBand="0" w:evenVBand="0" w:oddHBand="0" w:evenHBand="0" w:firstRowFirstColumn="0" w:firstRowLastColumn="0" w:lastRowFirstColumn="0" w:lastRowLastColumn="0"/>
          <w:trHeight w:val="227"/>
        </w:trPr>
        <w:tc>
          <w:tcPr>
            <w:tcW w:w="1213" w:type="dxa"/>
            <w:tcBorders>
              <w:top w:val="nil"/>
              <w:bottom w:val="single" w:sz="12" w:space="0" w:color="E2231A" w:themeColor="accent1"/>
            </w:tcBorders>
            <w:vAlign w:val="center"/>
          </w:tcPr>
          <w:p w14:paraId="6C9C9213" w14:textId="77777777" w:rsidR="00F821BE" w:rsidRPr="00AD1F91" w:rsidRDefault="00F821BE" w:rsidP="006D3C1D">
            <w:pPr>
              <w:pStyle w:val="Rango1Tablas"/>
              <w:spacing w:line="276" w:lineRule="auto"/>
              <w:jc w:val="center"/>
              <w:rPr>
                <w:vertAlign w:val="superscript"/>
              </w:rPr>
            </w:pPr>
          </w:p>
        </w:tc>
        <w:tc>
          <w:tcPr>
            <w:tcW w:w="1213" w:type="dxa"/>
            <w:tcBorders>
              <w:top w:val="nil"/>
              <w:bottom w:val="single" w:sz="12" w:space="0" w:color="E2231A" w:themeColor="accent1"/>
            </w:tcBorders>
            <w:vAlign w:val="center"/>
          </w:tcPr>
          <w:p w14:paraId="4D9CC3A2" w14:textId="77777777" w:rsidR="00F821BE" w:rsidRDefault="00F821BE" w:rsidP="006D3C1D">
            <w:pPr>
              <w:pStyle w:val="Rango1Tablas"/>
              <w:spacing w:line="276" w:lineRule="auto"/>
              <w:jc w:val="center"/>
            </w:pPr>
            <w:r>
              <w:t>2016</w:t>
            </w:r>
          </w:p>
        </w:tc>
        <w:tc>
          <w:tcPr>
            <w:tcW w:w="1214" w:type="dxa"/>
            <w:tcBorders>
              <w:top w:val="nil"/>
              <w:bottom w:val="single" w:sz="12" w:space="0" w:color="E2231A" w:themeColor="accent1"/>
            </w:tcBorders>
            <w:vAlign w:val="center"/>
          </w:tcPr>
          <w:p w14:paraId="120A0AE0" w14:textId="77777777" w:rsidR="00F821BE" w:rsidRDefault="00F821BE" w:rsidP="006D3C1D">
            <w:pPr>
              <w:pStyle w:val="Rango1Tablas"/>
              <w:spacing w:line="276" w:lineRule="auto"/>
              <w:jc w:val="center"/>
            </w:pPr>
            <w:r>
              <w:t>2017</w:t>
            </w:r>
          </w:p>
        </w:tc>
        <w:tc>
          <w:tcPr>
            <w:tcW w:w="1213" w:type="dxa"/>
            <w:tcBorders>
              <w:top w:val="nil"/>
              <w:bottom w:val="single" w:sz="12" w:space="0" w:color="E2231A" w:themeColor="accent1"/>
            </w:tcBorders>
            <w:vAlign w:val="center"/>
          </w:tcPr>
          <w:p w14:paraId="264FF1DE" w14:textId="77777777" w:rsidR="00F821BE" w:rsidRDefault="00F821BE" w:rsidP="006D3C1D">
            <w:pPr>
              <w:pStyle w:val="Rango1Tablas"/>
              <w:spacing w:line="276" w:lineRule="auto"/>
              <w:jc w:val="center"/>
            </w:pPr>
            <w:r>
              <w:t>2018</w:t>
            </w:r>
          </w:p>
        </w:tc>
        <w:tc>
          <w:tcPr>
            <w:tcW w:w="1213" w:type="dxa"/>
            <w:tcBorders>
              <w:top w:val="nil"/>
              <w:bottom w:val="single" w:sz="12" w:space="0" w:color="E2231A" w:themeColor="accent1"/>
            </w:tcBorders>
            <w:vAlign w:val="center"/>
          </w:tcPr>
          <w:p w14:paraId="63FE97DB" w14:textId="77777777" w:rsidR="00F821BE" w:rsidRDefault="00F821BE" w:rsidP="006D3C1D">
            <w:pPr>
              <w:pStyle w:val="Rango1Tablas"/>
              <w:spacing w:line="276" w:lineRule="auto"/>
              <w:jc w:val="center"/>
            </w:pPr>
            <w:r>
              <w:t>2019</w:t>
            </w:r>
          </w:p>
        </w:tc>
        <w:tc>
          <w:tcPr>
            <w:tcW w:w="1214" w:type="dxa"/>
            <w:tcBorders>
              <w:top w:val="nil"/>
              <w:bottom w:val="single" w:sz="12" w:space="0" w:color="E2231A" w:themeColor="accent1"/>
            </w:tcBorders>
            <w:vAlign w:val="center"/>
          </w:tcPr>
          <w:p w14:paraId="39148DF7" w14:textId="77777777" w:rsidR="00F821BE" w:rsidRPr="00C56803" w:rsidRDefault="00F821BE" w:rsidP="006D3C1D">
            <w:pPr>
              <w:pStyle w:val="Rango1Tablas"/>
              <w:spacing w:line="276" w:lineRule="auto"/>
              <w:jc w:val="center"/>
            </w:pPr>
            <w:r>
              <w:t>2020</w:t>
            </w:r>
          </w:p>
        </w:tc>
        <w:tc>
          <w:tcPr>
            <w:tcW w:w="1213" w:type="dxa"/>
            <w:tcBorders>
              <w:top w:val="nil"/>
              <w:bottom w:val="single" w:sz="12" w:space="0" w:color="E2231A" w:themeColor="accent1"/>
            </w:tcBorders>
            <w:vAlign w:val="center"/>
          </w:tcPr>
          <w:p w14:paraId="7D5A7AFF" w14:textId="7BA2EB64" w:rsidR="00F821BE" w:rsidRDefault="00F821BE" w:rsidP="006D3C1D">
            <w:pPr>
              <w:pStyle w:val="Rango1Tablas"/>
              <w:spacing w:line="276" w:lineRule="auto"/>
              <w:jc w:val="center"/>
            </w:pPr>
            <w:r>
              <w:t>2021</w:t>
            </w:r>
          </w:p>
        </w:tc>
        <w:tc>
          <w:tcPr>
            <w:tcW w:w="1214" w:type="dxa"/>
            <w:tcBorders>
              <w:top w:val="nil"/>
              <w:bottom w:val="single" w:sz="12" w:space="0" w:color="E2231A" w:themeColor="accent1"/>
            </w:tcBorders>
            <w:vAlign w:val="center"/>
          </w:tcPr>
          <w:p w14:paraId="2499EA19" w14:textId="6AA6A710" w:rsidR="00F821BE" w:rsidRDefault="00F821BE" w:rsidP="006D3C1D">
            <w:pPr>
              <w:pStyle w:val="Rango1Tablas"/>
              <w:spacing w:line="276" w:lineRule="auto"/>
              <w:jc w:val="center"/>
            </w:pPr>
            <w:r>
              <w:t>2022</w:t>
            </w:r>
          </w:p>
        </w:tc>
      </w:tr>
      <w:tr w:rsidR="00F821BE" w14:paraId="008F7A4D" w14:textId="77777777" w:rsidTr="001D30E0">
        <w:trPr>
          <w:trHeight w:val="283"/>
        </w:trPr>
        <w:tc>
          <w:tcPr>
            <w:tcW w:w="1213" w:type="dxa"/>
            <w:shd w:val="clear" w:color="auto" w:fill="F9D2D0" w:themeFill="accent1" w:themeFillTint="33"/>
            <w:vAlign w:val="center"/>
          </w:tcPr>
          <w:p w14:paraId="375BC723" w14:textId="4CFBFEE0" w:rsidR="00F821BE" w:rsidRPr="00F821BE" w:rsidRDefault="00F821BE" w:rsidP="00F821BE">
            <w:pPr>
              <w:pStyle w:val="DatosTabla"/>
              <w:jc w:val="center"/>
              <w:rPr>
                <w:b/>
                <w:bCs/>
              </w:rPr>
            </w:pPr>
            <w:r w:rsidRPr="00F821BE">
              <w:rPr>
                <w:b/>
                <w:bCs/>
              </w:rPr>
              <w:t>Longitud</w:t>
            </w:r>
          </w:p>
        </w:tc>
        <w:tc>
          <w:tcPr>
            <w:tcW w:w="1213" w:type="dxa"/>
            <w:shd w:val="clear" w:color="auto" w:fill="FFFFFF" w:themeFill="background1"/>
            <w:vAlign w:val="center"/>
          </w:tcPr>
          <w:p w14:paraId="56F3661A" w14:textId="24EB654B" w:rsidR="00F821BE" w:rsidRPr="00F821BE" w:rsidRDefault="00F821BE" w:rsidP="00F821BE">
            <w:pPr>
              <w:pStyle w:val="DatosTabla"/>
              <w:jc w:val="center"/>
              <w:rPr>
                <w:b/>
                <w:bCs/>
              </w:rPr>
            </w:pPr>
            <w:r w:rsidRPr="00F821BE">
              <w:rPr>
                <w:b/>
                <w:bCs/>
              </w:rPr>
              <w:t>10</w:t>
            </w:r>
            <w:r w:rsidR="00CD413B">
              <w:rPr>
                <w:b/>
                <w:bCs/>
              </w:rPr>
              <w:t>.</w:t>
            </w:r>
            <w:r w:rsidRPr="00F821BE">
              <w:rPr>
                <w:b/>
                <w:bCs/>
              </w:rPr>
              <w:t>885</w:t>
            </w:r>
          </w:p>
        </w:tc>
        <w:tc>
          <w:tcPr>
            <w:tcW w:w="1214" w:type="dxa"/>
            <w:shd w:val="clear" w:color="auto" w:fill="FFFFFF" w:themeFill="background1"/>
            <w:vAlign w:val="center"/>
          </w:tcPr>
          <w:p w14:paraId="52A0CBDC" w14:textId="222E8443" w:rsidR="00F821BE" w:rsidRPr="00F821BE" w:rsidRDefault="00F821BE" w:rsidP="00F821BE">
            <w:pPr>
              <w:pStyle w:val="DatosTabla"/>
              <w:jc w:val="center"/>
              <w:rPr>
                <w:b/>
                <w:bCs/>
              </w:rPr>
            </w:pPr>
            <w:r w:rsidRPr="00F821BE">
              <w:rPr>
                <w:b/>
                <w:bCs/>
              </w:rPr>
              <w:t>12</w:t>
            </w:r>
            <w:r w:rsidR="00CD413B">
              <w:rPr>
                <w:b/>
                <w:bCs/>
              </w:rPr>
              <w:t>.</w:t>
            </w:r>
            <w:r w:rsidRPr="00F821BE">
              <w:rPr>
                <w:b/>
                <w:bCs/>
              </w:rPr>
              <w:t>047</w:t>
            </w:r>
          </w:p>
        </w:tc>
        <w:tc>
          <w:tcPr>
            <w:tcW w:w="1213" w:type="dxa"/>
            <w:shd w:val="clear" w:color="auto" w:fill="FFFFFF" w:themeFill="background1"/>
            <w:vAlign w:val="center"/>
          </w:tcPr>
          <w:p w14:paraId="7DB99DA5" w14:textId="7C5F71A1" w:rsidR="00F821BE" w:rsidRPr="00F821BE" w:rsidRDefault="00F821BE" w:rsidP="00F821BE">
            <w:pPr>
              <w:pStyle w:val="DatosTabla"/>
              <w:jc w:val="center"/>
              <w:rPr>
                <w:b/>
                <w:bCs/>
              </w:rPr>
            </w:pPr>
            <w:r w:rsidRPr="00F821BE">
              <w:rPr>
                <w:b/>
                <w:bCs/>
              </w:rPr>
              <w:t>12</w:t>
            </w:r>
            <w:r w:rsidR="00CD413B">
              <w:rPr>
                <w:b/>
                <w:bCs/>
              </w:rPr>
              <w:t>.</w:t>
            </w:r>
            <w:r w:rsidRPr="00F821BE">
              <w:rPr>
                <w:b/>
                <w:bCs/>
              </w:rPr>
              <w:t>529</w:t>
            </w:r>
          </w:p>
        </w:tc>
        <w:tc>
          <w:tcPr>
            <w:tcW w:w="1213" w:type="dxa"/>
            <w:shd w:val="clear" w:color="auto" w:fill="FFFFFF" w:themeFill="background1"/>
            <w:vAlign w:val="center"/>
          </w:tcPr>
          <w:p w14:paraId="54E1C444" w14:textId="65E63AE0" w:rsidR="00F821BE" w:rsidRPr="00F821BE" w:rsidRDefault="00F821BE" w:rsidP="00F821BE">
            <w:pPr>
              <w:pStyle w:val="DatosTabla"/>
              <w:jc w:val="center"/>
              <w:rPr>
                <w:b/>
                <w:bCs/>
              </w:rPr>
            </w:pPr>
            <w:r w:rsidRPr="00F821BE">
              <w:rPr>
                <w:b/>
                <w:bCs/>
              </w:rPr>
              <w:t>13</w:t>
            </w:r>
            <w:r w:rsidR="00CD413B">
              <w:rPr>
                <w:b/>
                <w:bCs/>
              </w:rPr>
              <w:t>.</w:t>
            </w:r>
            <w:r w:rsidRPr="00F821BE">
              <w:rPr>
                <w:b/>
                <w:bCs/>
              </w:rPr>
              <w:t>168</w:t>
            </w:r>
          </w:p>
        </w:tc>
        <w:tc>
          <w:tcPr>
            <w:tcW w:w="1214" w:type="dxa"/>
            <w:shd w:val="clear" w:color="auto" w:fill="FFFFFF" w:themeFill="background1"/>
            <w:vAlign w:val="center"/>
          </w:tcPr>
          <w:p w14:paraId="74335252" w14:textId="2157E269" w:rsidR="00F821BE" w:rsidRPr="00F821BE" w:rsidRDefault="00F821BE" w:rsidP="00F821BE">
            <w:pPr>
              <w:pStyle w:val="DatosTabla"/>
              <w:jc w:val="center"/>
              <w:rPr>
                <w:b/>
                <w:bCs/>
              </w:rPr>
            </w:pPr>
            <w:r w:rsidRPr="00F821BE">
              <w:rPr>
                <w:b/>
                <w:bCs/>
              </w:rPr>
              <w:t>13</w:t>
            </w:r>
            <w:r w:rsidR="00CD413B">
              <w:rPr>
                <w:b/>
                <w:bCs/>
              </w:rPr>
              <w:t>.</w:t>
            </w:r>
            <w:r w:rsidRPr="00F821BE">
              <w:rPr>
                <w:b/>
                <w:bCs/>
              </w:rPr>
              <w:t>453</w:t>
            </w:r>
          </w:p>
        </w:tc>
        <w:tc>
          <w:tcPr>
            <w:tcW w:w="1213" w:type="dxa"/>
            <w:shd w:val="clear" w:color="auto" w:fill="FFFFFF" w:themeFill="background1"/>
            <w:vAlign w:val="center"/>
          </w:tcPr>
          <w:p w14:paraId="53778268" w14:textId="30D05731" w:rsidR="00CD413B" w:rsidRPr="00CD413B" w:rsidRDefault="00CD413B" w:rsidP="00CD413B">
            <w:pPr>
              <w:pStyle w:val="DatosTabla"/>
              <w:jc w:val="center"/>
              <w:rPr>
                <w:b/>
                <w:bCs/>
              </w:rPr>
            </w:pPr>
            <w:r>
              <w:rPr>
                <w:b/>
                <w:bCs/>
              </w:rPr>
              <w:t>13.664</w:t>
            </w:r>
          </w:p>
        </w:tc>
        <w:tc>
          <w:tcPr>
            <w:tcW w:w="1214" w:type="dxa"/>
            <w:shd w:val="clear" w:color="auto" w:fill="FFFFFF" w:themeFill="background1"/>
            <w:vAlign w:val="center"/>
          </w:tcPr>
          <w:p w14:paraId="59233B45" w14:textId="55F2B981" w:rsidR="00F821BE" w:rsidRPr="00F821BE" w:rsidRDefault="00CD413B" w:rsidP="00F821BE">
            <w:pPr>
              <w:pStyle w:val="DatosTabla"/>
              <w:jc w:val="center"/>
              <w:rPr>
                <w:b/>
                <w:bCs/>
              </w:rPr>
            </w:pPr>
            <w:r>
              <w:rPr>
                <w:b/>
                <w:bCs/>
              </w:rPr>
              <w:t>14.179</w:t>
            </w:r>
          </w:p>
        </w:tc>
      </w:tr>
    </w:tbl>
    <w:p w14:paraId="1B5381AA" w14:textId="327E9A31" w:rsidR="00503C74" w:rsidRDefault="00503C74" w:rsidP="001D30E0">
      <w:pPr>
        <w:pStyle w:val="Piedetablaygrfico"/>
        <w:spacing w:after="240"/>
      </w:pPr>
      <w:r>
        <w:t>Fuente: Oficina de Estadísticas de Croacia</w:t>
      </w:r>
      <w:r w:rsidR="00374463">
        <w:t>.</w:t>
      </w:r>
      <w:r w:rsidR="00374463">
        <w:rPr>
          <w:rStyle w:val="Refdenotaalpie"/>
        </w:rPr>
        <w:footnoteReference w:id="24"/>
      </w:r>
    </w:p>
    <w:p w14:paraId="3B638D07" w14:textId="7A5935E6" w:rsidR="001463A2" w:rsidRPr="000B5E5E" w:rsidRDefault="001463A2" w:rsidP="00E36BE8">
      <w:pPr>
        <w:pStyle w:val="TtuloTablas"/>
        <w:spacing w:after="240"/>
      </w:pPr>
      <w:r>
        <w:t>TABLa</w:t>
      </w:r>
      <w:r w:rsidR="00B46777">
        <w:t xml:space="preserve"> </w:t>
      </w:r>
      <w:r w:rsidR="00530B29">
        <w:t>6</w:t>
      </w:r>
      <w:r w:rsidR="00B46777">
        <w:t>:</w:t>
      </w:r>
      <w:r>
        <w:t xml:space="preserve"> número de plantas de tratamiento de aguas residuales</w:t>
      </w:r>
    </w:p>
    <w:tbl>
      <w:tblPr>
        <w:tblStyle w:val="Tabladelista2-nfasis1"/>
        <w:tblW w:w="9668" w:type="dxa"/>
        <w:tblLook w:val="0620" w:firstRow="1" w:lastRow="0" w:firstColumn="0" w:lastColumn="0" w:noHBand="1" w:noVBand="1"/>
      </w:tblPr>
      <w:tblGrid>
        <w:gridCol w:w="3095"/>
        <w:gridCol w:w="939"/>
        <w:gridCol w:w="939"/>
        <w:gridCol w:w="939"/>
        <w:gridCol w:w="939"/>
        <w:gridCol w:w="939"/>
        <w:gridCol w:w="939"/>
        <w:gridCol w:w="939"/>
      </w:tblGrid>
      <w:tr w:rsidR="00F821BE" w14:paraId="06C9C984" w14:textId="12E4E556" w:rsidTr="006D3C1D">
        <w:trPr>
          <w:cnfStyle w:val="100000000000" w:firstRow="1" w:lastRow="0" w:firstColumn="0" w:lastColumn="0" w:oddVBand="0" w:evenVBand="0" w:oddHBand="0" w:evenHBand="0" w:firstRowFirstColumn="0" w:firstRowLastColumn="0" w:lastRowFirstColumn="0" w:lastRowLastColumn="0"/>
          <w:trHeight w:val="227"/>
        </w:trPr>
        <w:tc>
          <w:tcPr>
            <w:tcW w:w="0" w:type="auto"/>
            <w:tcBorders>
              <w:top w:val="nil"/>
              <w:bottom w:val="single" w:sz="12" w:space="0" w:color="E2231A" w:themeColor="accent1"/>
            </w:tcBorders>
            <w:vAlign w:val="center"/>
          </w:tcPr>
          <w:p w14:paraId="752606F4" w14:textId="77777777" w:rsidR="00F821BE" w:rsidRPr="00AD1F91" w:rsidRDefault="00F821BE" w:rsidP="006D3C1D">
            <w:pPr>
              <w:pStyle w:val="Rango1Tablas"/>
              <w:spacing w:line="276" w:lineRule="auto"/>
              <w:jc w:val="center"/>
              <w:rPr>
                <w:vertAlign w:val="superscript"/>
              </w:rPr>
            </w:pPr>
          </w:p>
        </w:tc>
        <w:tc>
          <w:tcPr>
            <w:tcW w:w="0" w:type="auto"/>
            <w:tcBorders>
              <w:top w:val="nil"/>
              <w:bottom w:val="single" w:sz="12" w:space="0" w:color="E2231A" w:themeColor="accent1"/>
            </w:tcBorders>
            <w:vAlign w:val="center"/>
          </w:tcPr>
          <w:p w14:paraId="4EE5AE6F" w14:textId="77777777" w:rsidR="00F821BE" w:rsidRDefault="00F821BE" w:rsidP="006D3C1D">
            <w:pPr>
              <w:pStyle w:val="Rango1Tablas"/>
              <w:spacing w:line="276" w:lineRule="auto"/>
              <w:jc w:val="center"/>
            </w:pPr>
            <w:r>
              <w:t>2016</w:t>
            </w:r>
          </w:p>
        </w:tc>
        <w:tc>
          <w:tcPr>
            <w:tcW w:w="0" w:type="auto"/>
            <w:tcBorders>
              <w:top w:val="nil"/>
              <w:bottom w:val="single" w:sz="12" w:space="0" w:color="E2231A" w:themeColor="accent1"/>
            </w:tcBorders>
            <w:vAlign w:val="center"/>
          </w:tcPr>
          <w:p w14:paraId="5C61B276" w14:textId="77777777" w:rsidR="00F821BE" w:rsidRDefault="00F821BE" w:rsidP="006D3C1D">
            <w:pPr>
              <w:pStyle w:val="Rango1Tablas"/>
              <w:spacing w:line="276" w:lineRule="auto"/>
              <w:jc w:val="center"/>
            </w:pPr>
            <w:r>
              <w:t>2017</w:t>
            </w:r>
          </w:p>
        </w:tc>
        <w:tc>
          <w:tcPr>
            <w:tcW w:w="0" w:type="auto"/>
            <w:tcBorders>
              <w:top w:val="nil"/>
              <w:bottom w:val="single" w:sz="12" w:space="0" w:color="E2231A" w:themeColor="accent1"/>
            </w:tcBorders>
            <w:vAlign w:val="center"/>
          </w:tcPr>
          <w:p w14:paraId="2B08466A" w14:textId="77777777" w:rsidR="00F821BE" w:rsidRDefault="00F821BE" w:rsidP="006D3C1D">
            <w:pPr>
              <w:pStyle w:val="Rango1Tablas"/>
              <w:spacing w:line="276" w:lineRule="auto"/>
              <w:jc w:val="center"/>
            </w:pPr>
            <w:r>
              <w:t>2018</w:t>
            </w:r>
          </w:p>
        </w:tc>
        <w:tc>
          <w:tcPr>
            <w:tcW w:w="0" w:type="auto"/>
            <w:tcBorders>
              <w:top w:val="nil"/>
              <w:bottom w:val="single" w:sz="12" w:space="0" w:color="E2231A" w:themeColor="accent1"/>
            </w:tcBorders>
            <w:vAlign w:val="center"/>
          </w:tcPr>
          <w:p w14:paraId="77821969" w14:textId="77777777" w:rsidR="00F821BE" w:rsidRDefault="00F821BE" w:rsidP="006D3C1D">
            <w:pPr>
              <w:pStyle w:val="Rango1Tablas"/>
              <w:spacing w:line="276" w:lineRule="auto"/>
              <w:jc w:val="center"/>
            </w:pPr>
            <w:r>
              <w:t>2019</w:t>
            </w:r>
          </w:p>
        </w:tc>
        <w:tc>
          <w:tcPr>
            <w:tcW w:w="0" w:type="auto"/>
            <w:tcBorders>
              <w:top w:val="nil"/>
              <w:bottom w:val="single" w:sz="12" w:space="0" w:color="E2231A" w:themeColor="accent1"/>
            </w:tcBorders>
            <w:vAlign w:val="center"/>
          </w:tcPr>
          <w:p w14:paraId="5515C73B" w14:textId="77777777" w:rsidR="00F821BE" w:rsidRPr="00C56803" w:rsidRDefault="00F821BE" w:rsidP="006D3C1D">
            <w:pPr>
              <w:pStyle w:val="Rango1Tablas"/>
              <w:spacing w:line="276" w:lineRule="auto"/>
              <w:jc w:val="center"/>
            </w:pPr>
            <w:r>
              <w:t>2020</w:t>
            </w:r>
          </w:p>
        </w:tc>
        <w:tc>
          <w:tcPr>
            <w:tcW w:w="0" w:type="auto"/>
            <w:tcBorders>
              <w:top w:val="nil"/>
              <w:bottom w:val="single" w:sz="12" w:space="0" w:color="E2231A" w:themeColor="accent1"/>
            </w:tcBorders>
            <w:vAlign w:val="center"/>
          </w:tcPr>
          <w:p w14:paraId="3F890677" w14:textId="76CE338A" w:rsidR="00F821BE" w:rsidRDefault="00F821BE" w:rsidP="006D3C1D">
            <w:pPr>
              <w:pStyle w:val="Rango1Tablas"/>
              <w:spacing w:line="276" w:lineRule="auto"/>
              <w:jc w:val="center"/>
            </w:pPr>
            <w:r>
              <w:t>2021</w:t>
            </w:r>
          </w:p>
        </w:tc>
        <w:tc>
          <w:tcPr>
            <w:tcW w:w="0" w:type="auto"/>
            <w:tcBorders>
              <w:top w:val="nil"/>
              <w:bottom w:val="single" w:sz="12" w:space="0" w:color="E2231A" w:themeColor="accent1"/>
            </w:tcBorders>
            <w:vAlign w:val="center"/>
          </w:tcPr>
          <w:p w14:paraId="723EC0A2" w14:textId="75D3E97C" w:rsidR="00F821BE" w:rsidRDefault="00F821BE" w:rsidP="006D3C1D">
            <w:pPr>
              <w:pStyle w:val="Rango1Tablas"/>
              <w:spacing w:line="276" w:lineRule="auto"/>
              <w:jc w:val="center"/>
            </w:pPr>
            <w:r>
              <w:t>2022</w:t>
            </w:r>
          </w:p>
        </w:tc>
      </w:tr>
      <w:tr w:rsidR="00F821BE" w14:paraId="26581D67" w14:textId="6C710BBC" w:rsidTr="006D3C1D">
        <w:trPr>
          <w:trHeight w:val="227"/>
        </w:trPr>
        <w:tc>
          <w:tcPr>
            <w:tcW w:w="0" w:type="auto"/>
            <w:shd w:val="clear" w:color="auto" w:fill="auto"/>
            <w:vAlign w:val="center"/>
          </w:tcPr>
          <w:p w14:paraId="06448EF8" w14:textId="5FB09084" w:rsidR="00F821BE" w:rsidRPr="00AD1F91" w:rsidRDefault="00F821BE" w:rsidP="00F821BE">
            <w:pPr>
              <w:pStyle w:val="DatosTabla"/>
              <w:jc w:val="left"/>
            </w:pPr>
            <w:r>
              <w:t>Tratamiento primario</w:t>
            </w:r>
          </w:p>
        </w:tc>
        <w:tc>
          <w:tcPr>
            <w:tcW w:w="0" w:type="auto"/>
            <w:shd w:val="clear" w:color="auto" w:fill="auto"/>
            <w:vAlign w:val="center"/>
          </w:tcPr>
          <w:p w14:paraId="0F2D748C" w14:textId="403CBBA9" w:rsidR="00F821BE" w:rsidRDefault="00F821BE" w:rsidP="00F821BE">
            <w:pPr>
              <w:pStyle w:val="DatosTabla"/>
              <w:jc w:val="center"/>
            </w:pPr>
            <w:r>
              <w:t>71</w:t>
            </w:r>
          </w:p>
        </w:tc>
        <w:tc>
          <w:tcPr>
            <w:tcW w:w="0" w:type="auto"/>
            <w:shd w:val="clear" w:color="auto" w:fill="auto"/>
            <w:vAlign w:val="center"/>
          </w:tcPr>
          <w:p w14:paraId="5DDCD807" w14:textId="43958E66" w:rsidR="00F821BE" w:rsidRDefault="00F821BE" w:rsidP="00F821BE">
            <w:pPr>
              <w:pStyle w:val="DatosTabla"/>
              <w:jc w:val="center"/>
            </w:pPr>
            <w:r>
              <w:t>78</w:t>
            </w:r>
          </w:p>
        </w:tc>
        <w:tc>
          <w:tcPr>
            <w:tcW w:w="0" w:type="auto"/>
            <w:shd w:val="clear" w:color="auto" w:fill="auto"/>
            <w:vAlign w:val="center"/>
          </w:tcPr>
          <w:p w14:paraId="7C587515" w14:textId="0FC12354" w:rsidR="00F821BE" w:rsidRDefault="00F821BE" w:rsidP="00F821BE">
            <w:pPr>
              <w:pStyle w:val="DatosTabla"/>
              <w:jc w:val="center"/>
            </w:pPr>
            <w:r>
              <w:t>53</w:t>
            </w:r>
          </w:p>
        </w:tc>
        <w:tc>
          <w:tcPr>
            <w:tcW w:w="0" w:type="auto"/>
            <w:shd w:val="clear" w:color="auto" w:fill="auto"/>
            <w:vAlign w:val="center"/>
          </w:tcPr>
          <w:p w14:paraId="6890A016" w14:textId="4937C4FA" w:rsidR="00F821BE" w:rsidRDefault="00F821BE" w:rsidP="00F821BE">
            <w:pPr>
              <w:pStyle w:val="DatosTabla"/>
              <w:jc w:val="center"/>
            </w:pPr>
            <w:r>
              <w:t>59</w:t>
            </w:r>
          </w:p>
        </w:tc>
        <w:tc>
          <w:tcPr>
            <w:tcW w:w="0" w:type="auto"/>
            <w:shd w:val="clear" w:color="auto" w:fill="auto"/>
            <w:vAlign w:val="center"/>
          </w:tcPr>
          <w:p w14:paraId="0F5A56C5" w14:textId="58629DB9" w:rsidR="00F821BE" w:rsidRPr="00A32F79" w:rsidRDefault="00F821BE" w:rsidP="00F821BE">
            <w:pPr>
              <w:pStyle w:val="DatosTabla"/>
              <w:jc w:val="center"/>
            </w:pPr>
            <w:r>
              <w:t>65</w:t>
            </w:r>
          </w:p>
        </w:tc>
        <w:tc>
          <w:tcPr>
            <w:tcW w:w="0" w:type="auto"/>
            <w:shd w:val="clear" w:color="auto" w:fill="auto"/>
            <w:vAlign w:val="center"/>
          </w:tcPr>
          <w:p w14:paraId="17BF70D3" w14:textId="4B75A49A" w:rsidR="00F821BE" w:rsidRPr="00A32F79" w:rsidRDefault="00CD413B" w:rsidP="00F821BE">
            <w:pPr>
              <w:pStyle w:val="DatosTabla"/>
              <w:jc w:val="center"/>
            </w:pPr>
            <w:r>
              <w:t>74</w:t>
            </w:r>
          </w:p>
        </w:tc>
        <w:tc>
          <w:tcPr>
            <w:tcW w:w="0" w:type="auto"/>
            <w:vAlign w:val="center"/>
          </w:tcPr>
          <w:p w14:paraId="47DC1DB6" w14:textId="41705259" w:rsidR="00F821BE" w:rsidRDefault="00CD413B" w:rsidP="00F821BE">
            <w:pPr>
              <w:pStyle w:val="DatosTabla"/>
              <w:jc w:val="center"/>
            </w:pPr>
            <w:r>
              <w:t>66</w:t>
            </w:r>
          </w:p>
        </w:tc>
      </w:tr>
      <w:tr w:rsidR="00F821BE" w14:paraId="2DBFB197" w14:textId="626CB70A" w:rsidTr="006D3C1D">
        <w:trPr>
          <w:trHeight w:val="227"/>
        </w:trPr>
        <w:tc>
          <w:tcPr>
            <w:tcW w:w="0" w:type="auto"/>
            <w:vAlign w:val="center"/>
          </w:tcPr>
          <w:p w14:paraId="1D6CCE97" w14:textId="3D88C021" w:rsidR="00F821BE" w:rsidRDefault="00F821BE" w:rsidP="00F821BE">
            <w:pPr>
              <w:pStyle w:val="DatosTabla"/>
              <w:jc w:val="left"/>
            </w:pPr>
            <w:r>
              <w:t>Tratamiento secundario</w:t>
            </w:r>
          </w:p>
        </w:tc>
        <w:tc>
          <w:tcPr>
            <w:tcW w:w="0" w:type="auto"/>
            <w:vAlign w:val="center"/>
          </w:tcPr>
          <w:p w14:paraId="723E25FC" w14:textId="6C3508EB" w:rsidR="00F821BE" w:rsidRDefault="00F821BE" w:rsidP="00F821BE">
            <w:pPr>
              <w:pStyle w:val="DatosTabla"/>
              <w:jc w:val="center"/>
            </w:pPr>
            <w:r>
              <w:t>57</w:t>
            </w:r>
          </w:p>
        </w:tc>
        <w:tc>
          <w:tcPr>
            <w:tcW w:w="0" w:type="auto"/>
            <w:vAlign w:val="center"/>
          </w:tcPr>
          <w:p w14:paraId="5544180D" w14:textId="54255357" w:rsidR="00F821BE" w:rsidRDefault="00F821BE" w:rsidP="00F821BE">
            <w:pPr>
              <w:pStyle w:val="DatosTabla"/>
              <w:jc w:val="center"/>
            </w:pPr>
            <w:r>
              <w:t>61</w:t>
            </w:r>
          </w:p>
        </w:tc>
        <w:tc>
          <w:tcPr>
            <w:tcW w:w="0" w:type="auto"/>
            <w:vAlign w:val="center"/>
          </w:tcPr>
          <w:p w14:paraId="305B8CF4" w14:textId="5BF4193C" w:rsidR="00F821BE" w:rsidRDefault="00F821BE" w:rsidP="00F821BE">
            <w:pPr>
              <w:pStyle w:val="DatosTabla"/>
              <w:jc w:val="center"/>
            </w:pPr>
            <w:r>
              <w:t>79</w:t>
            </w:r>
          </w:p>
        </w:tc>
        <w:tc>
          <w:tcPr>
            <w:tcW w:w="0" w:type="auto"/>
            <w:vAlign w:val="center"/>
          </w:tcPr>
          <w:p w14:paraId="433B4B80" w14:textId="417F6ADA" w:rsidR="00F821BE" w:rsidRDefault="00F821BE" w:rsidP="00F821BE">
            <w:pPr>
              <w:pStyle w:val="DatosTabla"/>
              <w:jc w:val="center"/>
            </w:pPr>
            <w:r>
              <w:t>87</w:t>
            </w:r>
          </w:p>
        </w:tc>
        <w:tc>
          <w:tcPr>
            <w:tcW w:w="0" w:type="auto"/>
            <w:vAlign w:val="center"/>
          </w:tcPr>
          <w:p w14:paraId="54CC45B1" w14:textId="4EB90BED" w:rsidR="00F821BE" w:rsidRPr="00A32F79" w:rsidRDefault="00F821BE" w:rsidP="00F821BE">
            <w:pPr>
              <w:pStyle w:val="DatosTabla"/>
              <w:jc w:val="center"/>
            </w:pPr>
            <w:r>
              <w:t>88</w:t>
            </w:r>
          </w:p>
        </w:tc>
        <w:tc>
          <w:tcPr>
            <w:tcW w:w="0" w:type="auto"/>
            <w:vAlign w:val="center"/>
          </w:tcPr>
          <w:p w14:paraId="3B9A6920" w14:textId="51A244F8" w:rsidR="00F821BE" w:rsidRPr="00A32F79" w:rsidRDefault="00CD413B" w:rsidP="00F821BE">
            <w:pPr>
              <w:pStyle w:val="DatosTabla"/>
              <w:jc w:val="center"/>
            </w:pPr>
            <w:r>
              <w:t>84</w:t>
            </w:r>
          </w:p>
        </w:tc>
        <w:tc>
          <w:tcPr>
            <w:tcW w:w="0" w:type="auto"/>
            <w:vAlign w:val="center"/>
          </w:tcPr>
          <w:p w14:paraId="7FB6F85C" w14:textId="07D0EFDD" w:rsidR="00F821BE" w:rsidRDefault="00CD413B" w:rsidP="00F821BE">
            <w:pPr>
              <w:pStyle w:val="DatosTabla"/>
              <w:jc w:val="center"/>
            </w:pPr>
            <w:r>
              <w:t>90</w:t>
            </w:r>
          </w:p>
        </w:tc>
      </w:tr>
      <w:tr w:rsidR="00F821BE" w14:paraId="3A655C42" w14:textId="2962D9AF" w:rsidTr="006D3C1D">
        <w:trPr>
          <w:trHeight w:val="227"/>
        </w:trPr>
        <w:tc>
          <w:tcPr>
            <w:tcW w:w="0" w:type="auto"/>
            <w:vAlign w:val="center"/>
          </w:tcPr>
          <w:p w14:paraId="2E0CB3D7" w14:textId="1A17FEDF" w:rsidR="00F821BE" w:rsidRDefault="00F821BE" w:rsidP="00F821BE">
            <w:pPr>
              <w:pStyle w:val="DatosTabla"/>
              <w:jc w:val="left"/>
            </w:pPr>
            <w:r>
              <w:t>Tratamiento terciario</w:t>
            </w:r>
          </w:p>
        </w:tc>
        <w:tc>
          <w:tcPr>
            <w:tcW w:w="0" w:type="auto"/>
            <w:vAlign w:val="center"/>
          </w:tcPr>
          <w:p w14:paraId="385C0B9C" w14:textId="338DD380" w:rsidR="00F821BE" w:rsidRDefault="00F821BE" w:rsidP="00F821BE">
            <w:pPr>
              <w:pStyle w:val="DatosTabla"/>
              <w:jc w:val="center"/>
            </w:pPr>
            <w:r>
              <w:t>11</w:t>
            </w:r>
          </w:p>
        </w:tc>
        <w:tc>
          <w:tcPr>
            <w:tcW w:w="0" w:type="auto"/>
            <w:vAlign w:val="center"/>
          </w:tcPr>
          <w:p w14:paraId="3E36249B" w14:textId="4C69244E" w:rsidR="00F821BE" w:rsidRDefault="00F821BE" w:rsidP="00F821BE">
            <w:pPr>
              <w:pStyle w:val="DatosTabla"/>
              <w:jc w:val="center"/>
            </w:pPr>
            <w:r>
              <w:t>11</w:t>
            </w:r>
          </w:p>
        </w:tc>
        <w:tc>
          <w:tcPr>
            <w:tcW w:w="0" w:type="auto"/>
            <w:vAlign w:val="center"/>
          </w:tcPr>
          <w:p w14:paraId="3E272C58" w14:textId="12F9A63F" w:rsidR="00F821BE" w:rsidRDefault="00F821BE" w:rsidP="00F821BE">
            <w:pPr>
              <w:pStyle w:val="DatosTabla"/>
              <w:jc w:val="center"/>
            </w:pPr>
            <w:r>
              <w:t>19</w:t>
            </w:r>
          </w:p>
        </w:tc>
        <w:tc>
          <w:tcPr>
            <w:tcW w:w="0" w:type="auto"/>
            <w:vAlign w:val="center"/>
          </w:tcPr>
          <w:p w14:paraId="7FDD043B" w14:textId="4A62B337" w:rsidR="00F821BE" w:rsidRDefault="00F821BE" w:rsidP="00F821BE">
            <w:pPr>
              <w:pStyle w:val="DatosTabla"/>
              <w:jc w:val="center"/>
            </w:pPr>
            <w:r>
              <w:t>20</w:t>
            </w:r>
          </w:p>
        </w:tc>
        <w:tc>
          <w:tcPr>
            <w:tcW w:w="0" w:type="auto"/>
            <w:vAlign w:val="center"/>
          </w:tcPr>
          <w:p w14:paraId="5CF84A96" w14:textId="68635340" w:rsidR="00F821BE" w:rsidRDefault="00F821BE" w:rsidP="00F821BE">
            <w:pPr>
              <w:pStyle w:val="DatosTabla"/>
              <w:jc w:val="center"/>
            </w:pPr>
            <w:r>
              <w:t>21</w:t>
            </w:r>
          </w:p>
        </w:tc>
        <w:tc>
          <w:tcPr>
            <w:tcW w:w="0" w:type="auto"/>
            <w:vAlign w:val="center"/>
          </w:tcPr>
          <w:p w14:paraId="3C523FC6" w14:textId="7DB80E79" w:rsidR="00F821BE" w:rsidRDefault="00CD413B" w:rsidP="00F821BE">
            <w:pPr>
              <w:pStyle w:val="DatosTabla"/>
              <w:jc w:val="center"/>
            </w:pPr>
            <w:r>
              <w:t>25</w:t>
            </w:r>
          </w:p>
        </w:tc>
        <w:tc>
          <w:tcPr>
            <w:tcW w:w="0" w:type="auto"/>
            <w:vAlign w:val="center"/>
          </w:tcPr>
          <w:p w14:paraId="5045D694" w14:textId="1C64645F" w:rsidR="00F821BE" w:rsidRDefault="00CD413B" w:rsidP="00F821BE">
            <w:pPr>
              <w:pStyle w:val="DatosTabla"/>
              <w:jc w:val="center"/>
            </w:pPr>
            <w:r>
              <w:t>30</w:t>
            </w:r>
          </w:p>
        </w:tc>
      </w:tr>
      <w:tr w:rsidR="00F821BE" w14:paraId="1B1AF816" w14:textId="2245DAF6" w:rsidTr="006D3C1D">
        <w:trPr>
          <w:trHeight w:val="227"/>
        </w:trPr>
        <w:tc>
          <w:tcPr>
            <w:tcW w:w="0" w:type="auto"/>
            <w:shd w:val="clear" w:color="auto" w:fill="F9D2D0" w:themeFill="accent1" w:themeFillTint="33"/>
            <w:vAlign w:val="center"/>
          </w:tcPr>
          <w:p w14:paraId="5D9114D6" w14:textId="2E2E3BCD" w:rsidR="00F821BE" w:rsidRPr="001463A2" w:rsidRDefault="00F821BE" w:rsidP="00F821BE">
            <w:pPr>
              <w:pStyle w:val="DatosTabla"/>
              <w:jc w:val="left"/>
              <w:rPr>
                <w:b/>
                <w:bCs/>
              </w:rPr>
            </w:pPr>
            <w:r w:rsidRPr="001463A2">
              <w:rPr>
                <w:b/>
                <w:bCs/>
              </w:rPr>
              <w:t>TOTAL</w:t>
            </w:r>
          </w:p>
        </w:tc>
        <w:tc>
          <w:tcPr>
            <w:tcW w:w="0" w:type="auto"/>
            <w:shd w:val="clear" w:color="auto" w:fill="F9D2D0" w:themeFill="accent1" w:themeFillTint="33"/>
            <w:vAlign w:val="center"/>
          </w:tcPr>
          <w:p w14:paraId="21D92CD0" w14:textId="3A4A78FC" w:rsidR="00F821BE" w:rsidRPr="001463A2" w:rsidRDefault="00F821BE" w:rsidP="00F821BE">
            <w:pPr>
              <w:pStyle w:val="DatosTabla"/>
              <w:jc w:val="center"/>
              <w:rPr>
                <w:b/>
                <w:bCs/>
              </w:rPr>
            </w:pPr>
            <w:r w:rsidRPr="001463A2">
              <w:rPr>
                <w:b/>
                <w:bCs/>
              </w:rPr>
              <w:t>139</w:t>
            </w:r>
          </w:p>
        </w:tc>
        <w:tc>
          <w:tcPr>
            <w:tcW w:w="0" w:type="auto"/>
            <w:shd w:val="clear" w:color="auto" w:fill="F9D2D0" w:themeFill="accent1" w:themeFillTint="33"/>
            <w:vAlign w:val="center"/>
          </w:tcPr>
          <w:p w14:paraId="2398DD96" w14:textId="0EB0BA10" w:rsidR="00F821BE" w:rsidRPr="001463A2" w:rsidRDefault="00F821BE" w:rsidP="00F821BE">
            <w:pPr>
              <w:pStyle w:val="DatosTabla"/>
              <w:jc w:val="center"/>
              <w:rPr>
                <w:b/>
                <w:bCs/>
              </w:rPr>
            </w:pPr>
            <w:r w:rsidRPr="001463A2">
              <w:rPr>
                <w:b/>
                <w:bCs/>
              </w:rPr>
              <w:t>150</w:t>
            </w:r>
          </w:p>
        </w:tc>
        <w:tc>
          <w:tcPr>
            <w:tcW w:w="0" w:type="auto"/>
            <w:shd w:val="clear" w:color="auto" w:fill="F9D2D0" w:themeFill="accent1" w:themeFillTint="33"/>
            <w:vAlign w:val="center"/>
          </w:tcPr>
          <w:p w14:paraId="3A799BE9" w14:textId="6FFDE173" w:rsidR="00F821BE" w:rsidRPr="001463A2" w:rsidRDefault="00F821BE" w:rsidP="00F821BE">
            <w:pPr>
              <w:pStyle w:val="DatosTabla"/>
              <w:jc w:val="center"/>
              <w:rPr>
                <w:b/>
                <w:bCs/>
              </w:rPr>
            </w:pPr>
            <w:r w:rsidRPr="001463A2">
              <w:rPr>
                <w:b/>
                <w:bCs/>
              </w:rPr>
              <w:t>151</w:t>
            </w:r>
          </w:p>
        </w:tc>
        <w:tc>
          <w:tcPr>
            <w:tcW w:w="0" w:type="auto"/>
            <w:shd w:val="clear" w:color="auto" w:fill="F9D2D0" w:themeFill="accent1" w:themeFillTint="33"/>
            <w:vAlign w:val="center"/>
          </w:tcPr>
          <w:p w14:paraId="665EFA02" w14:textId="542A0113" w:rsidR="00F821BE" w:rsidRPr="001463A2" w:rsidRDefault="00F821BE" w:rsidP="00F821BE">
            <w:pPr>
              <w:pStyle w:val="DatosTabla"/>
              <w:jc w:val="center"/>
              <w:rPr>
                <w:b/>
                <w:bCs/>
              </w:rPr>
            </w:pPr>
            <w:r w:rsidRPr="001463A2">
              <w:rPr>
                <w:b/>
                <w:bCs/>
              </w:rPr>
              <w:t>166</w:t>
            </w:r>
          </w:p>
        </w:tc>
        <w:tc>
          <w:tcPr>
            <w:tcW w:w="0" w:type="auto"/>
            <w:shd w:val="clear" w:color="auto" w:fill="F9D2D0" w:themeFill="accent1" w:themeFillTint="33"/>
            <w:vAlign w:val="center"/>
          </w:tcPr>
          <w:p w14:paraId="64A9F9B0" w14:textId="766942CB" w:rsidR="00F821BE" w:rsidRPr="001463A2" w:rsidRDefault="00F821BE" w:rsidP="00F821BE">
            <w:pPr>
              <w:pStyle w:val="DatosTabla"/>
              <w:jc w:val="center"/>
              <w:rPr>
                <w:b/>
                <w:bCs/>
              </w:rPr>
            </w:pPr>
            <w:r w:rsidRPr="001463A2">
              <w:rPr>
                <w:b/>
                <w:bCs/>
              </w:rPr>
              <w:t>174</w:t>
            </w:r>
          </w:p>
        </w:tc>
        <w:tc>
          <w:tcPr>
            <w:tcW w:w="0" w:type="auto"/>
            <w:shd w:val="clear" w:color="auto" w:fill="F9D2D0" w:themeFill="accent1" w:themeFillTint="33"/>
            <w:vAlign w:val="center"/>
          </w:tcPr>
          <w:p w14:paraId="67DCC268" w14:textId="28A44ED6" w:rsidR="00F821BE" w:rsidRPr="001463A2" w:rsidRDefault="00CD413B" w:rsidP="00F821BE">
            <w:pPr>
              <w:pStyle w:val="DatosTabla"/>
              <w:jc w:val="center"/>
              <w:rPr>
                <w:b/>
                <w:bCs/>
              </w:rPr>
            </w:pPr>
            <w:r>
              <w:rPr>
                <w:b/>
                <w:bCs/>
              </w:rPr>
              <w:t>183</w:t>
            </w:r>
          </w:p>
        </w:tc>
        <w:tc>
          <w:tcPr>
            <w:tcW w:w="0" w:type="auto"/>
            <w:shd w:val="clear" w:color="auto" w:fill="F9D2D0" w:themeFill="accent1" w:themeFillTint="33"/>
            <w:vAlign w:val="center"/>
          </w:tcPr>
          <w:p w14:paraId="6CEDD81F" w14:textId="3889A162" w:rsidR="00F821BE" w:rsidRPr="001463A2" w:rsidRDefault="00CD413B" w:rsidP="00F821BE">
            <w:pPr>
              <w:pStyle w:val="DatosTabla"/>
              <w:jc w:val="center"/>
              <w:rPr>
                <w:b/>
                <w:bCs/>
              </w:rPr>
            </w:pPr>
            <w:r>
              <w:rPr>
                <w:b/>
                <w:bCs/>
              </w:rPr>
              <w:t>186</w:t>
            </w:r>
          </w:p>
        </w:tc>
      </w:tr>
    </w:tbl>
    <w:p w14:paraId="1E200580" w14:textId="7F1476D3" w:rsidR="001463A2" w:rsidRDefault="001463A2" w:rsidP="006D3C1D">
      <w:pPr>
        <w:pStyle w:val="Piedetablaygrfico"/>
        <w:spacing w:after="240"/>
      </w:pPr>
      <w:r>
        <w:t>Fuente: Oficina de Estadísticas de Croacia</w:t>
      </w:r>
      <w:r w:rsidR="00374463">
        <w:t>.</w:t>
      </w:r>
      <w:r w:rsidR="00374463">
        <w:rPr>
          <w:rStyle w:val="Refdenotaalpie"/>
        </w:rPr>
        <w:footnoteReference w:id="25"/>
      </w:r>
    </w:p>
    <w:p w14:paraId="3F8B1439" w14:textId="77777777" w:rsidR="00D165E9" w:rsidRDefault="00530B29" w:rsidP="001463A2">
      <w:pPr>
        <w:pStyle w:val="Piedetablaygrfico"/>
        <w:rPr>
          <w:color w:val="auto"/>
          <w:sz w:val="22"/>
          <w:szCs w:val="32"/>
        </w:rPr>
      </w:pPr>
      <w:r w:rsidRPr="00530B29">
        <w:rPr>
          <w:color w:val="auto"/>
          <w:sz w:val="22"/>
          <w:szCs w:val="32"/>
        </w:rPr>
        <w:lastRenderedPageBreak/>
        <w:t xml:space="preserve">Desde su incorporación a la UE, </w:t>
      </w:r>
      <w:r w:rsidRPr="00530B29">
        <w:rPr>
          <w:color w:val="auto"/>
          <w:sz w:val="22"/>
          <w:szCs w:val="32"/>
          <w:u w:val="single"/>
        </w:rPr>
        <w:t>ha aumentado la conciencia acerca del tratamiento de aguas</w:t>
      </w:r>
      <w:r w:rsidRPr="00530B29">
        <w:rPr>
          <w:color w:val="auto"/>
          <w:sz w:val="22"/>
          <w:szCs w:val="32"/>
        </w:rPr>
        <w:t xml:space="preserve">, lo cual se refleja en el </w:t>
      </w:r>
      <w:r w:rsidRPr="00530B29">
        <w:rPr>
          <w:b/>
          <w:bCs/>
          <w:color w:val="auto"/>
          <w:sz w:val="22"/>
          <w:szCs w:val="32"/>
        </w:rPr>
        <w:t>aumento del volumen de aguas tratadas</w:t>
      </w:r>
      <w:r w:rsidRPr="00530B29">
        <w:rPr>
          <w:color w:val="auto"/>
          <w:sz w:val="22"/>
          <w:szCs w:val="32"/>
        </w:rPr>
        <w:t xml:space="preserve"> y en la </w:t>
      </w:r>
      <w:r w:rsidRPr="00530B29">
        <w:rPr>
          <w:b/>
          <w:bCs/>
          <w:color w:val="auto"/>
          <w:sz w:val="22"/>
          <w:szCs w:val="32"/>
        </w:rPr>
        <w:t>expansión del número de plantas</w:t>
      </w:r>
      <w:r w:rsidR="00D165E9">
        <w:rPr>
          <w:color w:val="auto"/>
          <w:sz w:val="22"/>
          <w:szCs w:val="32"/>
        </w:rPr>
        <w:t xml:space="preserve"> </w:t>
      </w:r>
      <w:r w:rsidRPr="00530B29">
        <w:rPr>
          <w:color w:val="auto"/>
          <w:sz w:val="22"/>
          <w:szCs w:val="32"/>
        </w:rPr>
        <w:t xml:space="preserve">(consultar tabla </w:t>
      </w:r>
      <w:r>
        <w:rPr>
          <w:color w:val="auto"/>
          <w:sz w:val="22"/>
          <w:szCs w:val="32"/>
        </w:rPr>
        <w:t>6</w:t>
      </w:r>
      <w:r w:rsidRPr="00530B29">
        <w:rPr>
          <w:color w:val="auto"/>
          <w:sz w:val="22"/>
          <w:szCs w:val="32"/>
        </w:rPr>
        <w:t>), con un enfoque especialmente notorio en el tratamiento secundario. Paralelamente, el Gobierno de Croacia tiene programada una inversión que supera los 3.000 millones de euros en este ámbito hasta el año 2023.</w:t>
      </w:r>
    </w:p>
    <w:p w14:paraId="425FADA1" w14:textId="4F95C3F3" w:rsidR="00530B29" w:rsidRPr="00050273" w:rsidRDefault="00530B29" w:rsidP="001463A2">
      <w:pPr>
        <w:pStyle w:val="Piedetablaygrfico"/>
        <w:rPr>
          <w:color w:val="auto"/>
          <w:sz w:val="22"/>
          <w:szCs w:val="32"/>
        </w:rPr>
      </w:pPr>
      <w:r>
        <w:rPr>
          <w:color w:val="auto"/>
          <w:sz w:val="22"/>
          <w:szCs w:val="32"/>
        </w:rPr>
        <w:t xml:space="preserve">Por otro lado, </w:t>
      </w:r>
      <w:r w:rsidRPr="00530B29">
        <w:rPr>
          <w:color w:val="auto"/>
          <w:sz w:val="22"/>
          <w:szCs w:val="32"/>
        </w:rPr>
        <w:t>Hrvatske Vode informa que Croacia ha generado cerca de 20.000 toneladas anuales de lodos residuales en la última década, derivados de plantas de tratamiento. Se proyecta que esta cifra excederá las 100.000 toneladas en 2024 debido a mejoras planificadas en el sistema público. Actualmente, se gestionan estos lodos a través de vertederos, reciclaje agrícola o incineración, aunque la práctica de reciclaje agrícola enfrenta crecientes críticas públicas y podría ser descontinuada.</w:t>
      </w:r>
    </w:p>
    <w:p w14:paraId="39ABB550" w14:textId="0C8A4BA3" w:rsidR="00503D96" w:rsidRDefault="00503D96" w:rsidP="00503D96">
      <w:pPr>
        <w:pStyle w:val="Ttulo3"/>
      </w:pPr>
      <w:bookmarkStart w:id="26" w:name="_Toc148363702"/>
      <w:r>
        <w:t>Sistemas de irrigación</w:t>
      </w:r>
      <w:bookmarkEnd w:id="26"/>
    </w:p>
    <w:p w14:paraId="74AA966E" w14:textId="0725080E" w:rsidR="00AB6B13" w:rsidRPr="00AB6B13" w:rsidRDefault="00AB6B13" w:rsidP="00AB6B13">
      <w:pPr>
        <w:rPr>
          <w:color w:val="auto"/>
          <w:lang w:val="es-ES" w:eastAsia="es-ES"/>
        </w:rPr>
      </w:pPr>
      <w:r w:rsidRPr="00AB6B13">
        <w:rPr>
          <w:color w:val="auto"/>
          <w:lang w:val="es-ES" w:eastAsia="es-ES"/>
        </w:rPr>
        <w:t xml:space="preserve">En 2005, el Gobierno de la República de Croacia instituyó el </w:t>
      </w:r>
      <w:r w:rsidRPr="00AB6B13">
        <w:rPr>
          <w:b/>
          <w:bCs/>
          <w:color w:val="auto"/>
          <w:lang w:val="es-ES" w:eastAsia="es-ES"/>
        </w:rPr>
        <w:t>Proyecto Nacional de Regadío y Gestión de Tierras Agrícolas y Recursos Hídricos</w:t>
      </w:r>
      <w:r w:rsidRPr="00AB6B13">
        <w:rPr>
          <w:rStyle w:val="Refdenotaalpie"/>
          <w:lang w:val="es-ES" w:eastAsia="es-ES"/>
        </w:rPr>
        <w:footnoteReference w:id="26"/>
      </w:r>
      <w:r w:rsidRPr="00AB6B13">
        <w:rPr>
          <w:color w:val="auto"/>
          <w:lang w:val="es-ES" w:eastAsia="es-ES"/>
        </w:rPr>
        <w:t xml:space="preserve">, marcando así un punto de inflexión en la política del agua del país. Este proyecto se enfoca en un objetivo estratégico principal: </w:t>
      </w:r>
      <w:r w:rsidRPr="00951745">
        <w:rPr>
          <w:color w:val="auto"/>
          <w:u w:val="single"/>
          <w:lang w:val="es-ES" w:eastAsia="es-ES"/>
        </w:rPr>
        <w:t>elevar la competitividad de la producción agrícola en Croacia</w:t>
      </w:r>
      <w:r w:rsidRPr="00AB6B13">
        <w:rPr>
          <w:color w:val="auto"/>
          <w:lang w:val="es-ES" w:eastAsia="es-ES"/>
        </w:rPr>
        <w:t>.</w:t>
      </w:r>
      <w:r w:rsidR="00951745">
        <w:rPr>
          <w:color w:val="auto"/>
          <w:lang w:val="es-ES" w:eastAsia="es-ES"/>
        </w:rPr>
        <w:t xml:space="preserve"> </w:t>
      </w:r>
      <w:r w:rsidR="00951745" w:rsidRPr="00951745">
        <w:rPr>
          <w:color w:val="auto"/>
          <w:lang w:val="es-ES" w:eastAsia="es-ES"/>
        </w:rPr>
        <w:t>Además, estaba buscando ajustar sus políticas para que fueran coherentes con las directrices europeas, como parte de su proceso de adhesión a la Unión Europea (Croacia presentó la solicitud de ingreso en 2003).</w:t>
      </w:r>
    </w:p>
    <w:p w14:paraId="45F97BCE" w14:textId="0DCE3E17" w:rsidR="00AB6B13" w:rsidRPr="00AB6B13" w:rsidRDefault="00AB6B13" w:rsidP="00AB6B13">
      <w:pPr>
        <w:rPr>
          <w:color w:val="auto"/>
          <w:lang w:val="es-ES" w:eastAsia="es-ES"/>
        </w:rPr>
      </w:pPr>
      <w:r w:rsidRPr="00AB6B13">
        <w:rPr>
          <w:color w:val="auto"/>
          <w:lang w:val="es-ES" w:eastAsia="es-ES"/>
        </w:rPr>
        <w:t>Para alcanzar este objetivo estratégico, se estableci</w:t>
      </w:r>
      <w:r>
        <w:rPr>
          <w:color w:val="auto"/>
          <w:lang w:val="es-ES" w:eastAsia="es-ES"/>
        </w:rPr>
        <w:t>eron</w:t>
      </w:r>
      <w:r w:rsidRPr="00AB6B13">
        <w:rPr>
          <w:color w:val="auto"/>
          <w:lang w:val="es-ES" w:eastAsia="es-ES"/>
        </w:rPr>
        <w:t xml:space="preserve"> diversas metas a corto plazo. Estas incluye</w:t>
      </w:r>
      <w:r>
        <w:rPr>
          <w:color w:val="auto"/>
          <w:lang w:val="es-ES" w:eastAsia="es-ES"/>
        </w:rPr>
        <w:t>ron</w:t>
      </w:r>
      <w:r w:rsidRPr="00AB6B13">
        <w:rPr>
          <w:color w:val="auto"/>
          <w:lang w:val="es-ES" w:eastAsia="es-ES"/>
        </w:rPr>
        <w:t xml:space="preserve"> el desarrollo de planes de regadío a nivel comarcal que se adapt</w:t>
      </w:r>
      <w:r w:rsidR="00951745">
        <w:rPr>
          <w:color w:val="auto"/>
          <w:lang w:val="es-ES" w:eastAsia="es-ES"/>
        </w:rPr>
        <w:t>as</w:t>
      </w:r>
      <w:r w:rsidRPr="00AB6B13">
        <w:rPr>
          <w:color w:val="auto"/>
          <w:lang w:val="es-ES" w:eastAsia="es-ES"/>
        </w:rPr>
        <w:t>en a las necesidades específicas de cada región, la modernización de la legislación vigente en relación con la gestión del agua y el regadío, y el diseño e implementación de proyectos piloto para probar y demostrar la efectividad de nuevas técnicas y tecnologías de regadío.</w:t>
      </w:r>
    </w:p>
    <w:p w14:paraId="5D23CBDB" w14:textId="12AD9C84" w:rsidR="00C102E1" w:rsidRDefault="00AB6B13" w:rsidP="00AB6B13">
      <w:pPr>
        <w:rPr>
          <w:color w:val="auto"/>
          <w:lang w:val="es-ES" w:eastAsia="es-ES"/>
        </w:rPr>
      </w:pPr>
      <w:r w:rsidRPr="00AB6B13">
        <w:rPr>
          <w:color w:val="auto"/>
          <w:lang w:val="es-ES" w:eastAsia="es-ES"/>
        </w:rPr>
        <w:t>En el horizonte a largo plazo, el proyecto aspira</w:t>
      </w:r>
      <w:r w:rsidR="00951745">
        <w:rPr>
          <w:color w:val="auto"/>
          <w:lang w:val="es-ES" w:eastAsia="es-ES"/>
        </w:rPr>
        <w:t>ba</w:t>
      </w:r>
      <w:r w:rsidRPr="00AB6B13">
        <w:rPr>
          <w:color w:val="auto"/>
          <w:lang w:val="es-ES" w:eastAsia="es-ES"/>
        </w:rPr>
        <w:t xml:space="preserve"> a transformar aproximadamente un 6</w:t>
      </w:r>
      <w:r w:rsidR="00D0081F">
        <w:rPr>
          <w:color w:val="auto"/>
          <w:lang w:val="es-ES" w:eastAsia="es-ES"/>
        </w:rPr>
        <w:t xml:space="preserve"> </w:t>
      </w:r>
      <w:r w:rsidRPr="00AB6B13">
        <w:rPr>
          <w:color w:val="auto"/>
          <w:lang w:val="es-ES" w:eastAsia="es-ES"/>
        </w:rPr>
        <w:t>% de la tierra cultivable de Croacia, equivalente a unas 65,000 hectáreas, en áreas aptas para el regadío. Este objetivo final busca</w:t>
      </w:r>
      <w:r w:rsidR="00951745">
        <w:rPr>
          <w:color w:val="auto"/>
          <w:lang w:val="es-ES" w:eastAsia="es-ES"/>
        </w:rPr>
        <w:t>ba</w:t>
      </w:r>
      <w:r w:rsidRPr="00AB6B13">
        <w:rPr>
          <w:color w:val="auto"/>
          <w:lang w:val="es-ES" w:eastAsia="es-ES"/>
        </w:rPr>
        <w:t xml:space="preserve"> asegurar una gestión sostenible de los recursos hídricos del país y una producción agrícola más resiliente y competitiva.</w:t>
      </w:r>
    </w:p>
    <w:p w14:paraId="78D70E55" w14:textId="16D4738C" w:rsidR="00394096" w:rsidRDefault="00C102E1" w:rsidP="005D5C49">
      <w:pPr>
        <w:rPr>
          <w:color w:val="auto"/>
          <w:lang w:val="es-ES" w:eastAsia="es-ES"/>
        </w:rPr>
      </w:pPr>
      <w:r w:rsidRPr="00B46777">
        <w:rPr>
          <w:color w:val="auto"/>
          <w:lang w:val="es-ES" w:eastAsia="es-ES"/>
        </w:rPr>
        <w:t>En este país, la productividad de los cultivos es relativamente baja y se encuentra por debajo de la media europea</w:t>
      </w:r>
      <w:r w:rsidR="00394096" w:rsidRPr="00394096">
        <w:rPr>
          <w:color w:val="auto"/>
          <w:lang w:val="es-ES" w:eastAsia="es-ES"/>
        </w:rPr>
        <w:t xml:space="preserve">. Concretamente, </w:t>
      </w:r>
      <w:r w:rsidR="00394096" w:rsidRPr="00232763">
        <w:rPr>
          <w:b/>
          <w:bCs/>
          <w:color w:val="auto"/>
          <w:lang w:val="es-ES" w:eastAsia="es-ES"/>
        </w:rPr>
        <w:t>solo el 2,5</w:t>
      </w:r>
      <w:r w:rsidR="00D0081F">
        <w:rPr>
          <w:b/>
          <w:bCs/>
          <w:color w:val="auto"/>
          <w:lang w:val="es-ES" w:eastAsia="es-ES"/>
        </w:rPr>
        <w:t xml:space="preserve"> </w:t>
      </w:r>
      <w:r w:rsidR="00394096" w:rsidRPr="00232763">
        <w:rPr>
          <w:b/>
          <w:bCs/>
          <w:color w:val="auto"/>
          <w:lang w:val="es-ES" w:eastAsia="es-ES"/>
        </w:rPr>
        <w:t>% de las áreas destinadas a la agricultura cuenta con sistemas de irrigación</w:t>
      </w:r>
      <w:r w:rsidR="00394096" w:rsidRPr="00394096">
        <w:rPr>
          <w:color w:val="auto"/>
          <w:lang w:val="es-ES" w:eastAsia="es-ES"/>
        </w:rPr>
        <w:t>, mientras que la cifra promedio en Europa se eleva al 6,7</w:t>
      </w:r>
      <w:r w:rsidR="00D0081F">
        <w:rPr>
          <w:color w:val="auto"/>
          <w:lang w:val="es-ES" w:eastAsia="es-ES"/>
        </w:rPr>
        <w:t xml:space="preserve"> </w:t>
      </w:r>
      <w:r w:rsidR="00394096" w:rsidRPr="00394096">
        <w:rPr>
          <w:color w:val="auto"/>
          <w:lang w:val="es-ES" w:eastAsia="es-ES"/>
        </w:rPr>
        <w:t>%, y en los países mediterráneos alcanza el 12,5</w:t>
      </w:r>
      <w:r w:rsidR="00D0081F">
        <w:rPr>
          <w:color w:val="auto"/>
          <w:lang w:val="es-ES" w:eastAsia="es-ES"/>
        </w:rPr>
        <w:t xml:space="preserve"> </w:t>
      </w:r>
      <w:r w:rsidR="00394096" w:rsidRPr="00394096">
        <w:rPr>
          <w:color w:val="auto"/>
          <w:lang w:val="es-ES" w:eastAsia="es-ES"/>
        </w:rPr>
        <w:t>%</w:t>
      </w:r>
      <w:r w:rsidRPr="00B46777">
        <w:rPr>
          <w:color w:val="auto"/>
          <w:lang w:val="es-ES" w:eastAsia="es-ES"/>
        </w:rPr>
        <w:t>.</w:t>
      </w:r>
      <w:r w:rsidR="00E25929">
        <w:rPr>
          <w:color w:val="auto"/>
          <w:lang w:val="es-ES" w:eastAsia="es-ES"/>
        </w:rPr>
        <w:t xml:space="preserve"> </w:t>
      </w:r>
      <w:r w:rsidR="00530E4A" w:rsidRPr="00530E4A">
        <w:rPr>
          <w:color w:val="auto"/>
          <w:lang w:val="es-ES" w:eastAsia="es-ES"/>
        </w:rPr>
        <w:t>Por otro lado, los agricultores deben cubrir los gastos asociados a la conexión de sus terrenos a la red de suministro de agua. Esta situación a menudo desalienta la realización de proyectos de irrigación, dado que muchos agricultores no cuentan con los recursos económicos para costear estas conexiones.</w:t>
      </w:r>
      <w:r w:rsidR="00530E4A">
        <w:rPr>
          <w:color w:val="auto"/>
          <w:lang w:val="es-ES" w:eastAsia="es-ES"/>
        </w:rPr>
        <w:t xml:space="preserve"> </w:t>
      </w:r>
      <w:r w:rsidR="00E25929">
        <w:rPr>
          <w:color w:val="auto"/>
          <w:lang w:val="es-ES" w:eastAsia="es-ES"/>
        </w:rPr>
        <w:t>Además, l</w:t>
      </w:r>
      <w:r w:rsidR="00394096" w:rsidRPr="00394096">
        <w:rPr>
          <w:color w:val="auto"/>
          <w:lang w:val="es-ES" w:eastAsia="es-ES"/>
        </w:rPr>
        <w:t xml:space="preserve">as </w:t>
      </w:r>
      <w:r w:rsidR="00394096" w:rsidRPr="00113709">
        <w:rPr>
          <w:color w:val="auto"/>
          <w:lang w:val="es-ES" w:eastAsia="es-ES"/>
        </w:rPr>
        <w:t>severas sequías</w:t>
      </w:r>
      <w:r w:rsidR="00394096" w:rsidRPr="00394096">
        <w:rPr>
          <w:color w:val="auto"/>
          <w:lang w:val="es-ES" w:eastAsia="es-ES"/>
        </w:rPr>
        <w:t xml:space="preserve"> que </w:t>
      </w:r>
      <w:r w:rsidR="00394096" w:rsidRPr="00394096">
        <w:rPr>
          <w:color w:val="auto"/>
          <w:lang w:val="es-ES" w:eastAsia="es-ES"/>
        </w:rPr>
        <w:lastRenderedPageBreak/>
        <w:t xml:space="preserve">acontecen cada 3-5 años generan considerables </w:t>
      </w:r>
      <w:r w:rsidR="00394096">
        <w:rPr>
          <w:color w:val="auto"/>
          <w:lang w:val="es-ES" w:eastAsia="es-ES"/>
        </w:rPr>
        <w:t>daños</w:t>
      </w:r>
      <w:r w:rsidR="00394096" w:rsidRPr="00394096">
        <w:rPr>
          <w:color w:val="auto"/>
          <w:lang w:val="es-ES" w:eastAsia="es-ES"/>
        </w:rPr>
        <w:t xml:space="preserve"> a la producción agrícola. </w:t>
      </w:r>
      <w:r w:rsidR="00E25929">
        <w:rPr>
          <w:color w:val="auto"/>
          <w:lang w:val="es-ES" w:eastAsia="es-ES"/>
        </w:rPr>
        <w:t>De igual modo</w:t>
      </w:r>
      <w:r w:rsidR="00394096" w:rsidRPr="00394096">
        <w:rPr>
          <w:color w:val="auto"/>
          <w:lang w:val="es-ES" w:eastAsia="es-ES"/>
        </w:rPr>
        <w:t xml:space="preserve">, se suma el problema del </w:t>
      </w:r>
      <w:r w:rsidR="00394096" w:rsidRPr="00113709">
        <w:rPr>
          <w:b/>
          <w:bCs/>
          <w:color w:val="auto"/>
          <w:lang w:val="es-ES" w:eastAsia="es-ES"/>
        </w:rPr>
        <w:t>desuso o abandono de las infraestructuras</w:t>
      </w:r>
      <w:r w:rsidR="00394096" w:rsidRPr="00394096">
        <w:rPr>
          <w:color w:val="auto"/>
          <w:lang w:val="es-ES" w:eastAsia="es-ES"/>
        </w:rPr>
        <w:t xml:space="preserve"> construidas por el </w:t>
      </w:r>
      <w:r w:rsidR="00394096">
        <w:rPr>
          <w:color w:val="auto"/>
          <w:lang w:val="es-ES" w:eastAsia="es-ES"/>
        </w:rPr>
        <w:t>G</w:t>
      </w:r>
      <w:r w:rsidR="00394096" w:rsidRPr="00394096">
        <w:rPr>
          <w:color w:val="auto"/>
          <w:lang w:val="es-ES" w:eastAsia="es-ES"/>
        </w:rPr>
        <w:t xml:space="preserve">obierno, así como los </w:t>
      </w:r>
      <w:r w:rsidR="00394096" w:rsidRPr="00113709">
        <w:rPr>
          <w:b/>
          <w:bCs/>
          <w:color w:val="auto"/>
          <w:lang w:val="es-ES" w:eastAsia="es-ES"/>
        </w:rPr>
        <w:t>procedimientos lentos para obtener permisos</w:t>
      </w:r>
      <w:r w:rsidR="00394096" w:rsidRPr="00394096">
        <w:rPr>
          <w:color w:val="auto"/>
          <w:lang w:val="es-ES" w:eastAsia="es-ES"/>
        </w:rPr>
        <w:t xml:space="preserve"> a nivel de condado</w:t>
      </w:r>
      <w:r w:rsidR="00394096">
        <w:rPr>
          <w:color w:val="auto"/>
          <w:lang w:val="es-ES" w:eastAsia="es-ES"/>
        </w:rPr>
        <w:t>.</w:t>
      </w:r>
    </w:p>
    <w:p w14:paraId="0B0241A0" w14:textId="33C7B0C6" w:rsidR="00C102E1" w:rsidRDefault="00394096" w:rsidP="005D5C49">
      <w:pPr>
        <w:rPr>
          <w:color w:val="auto"/>
          <w:lang w:val="es-ES" w:eastAsia="es-ES"/>
        </w:rPr>
      </w:pPr>
      <w:r w:rsidRPr="00394096">
        <w:rPr>
          <w:color w:val="auto"/>
          <w:lang w:val="es-ES" w:eastAsia="es-ES"/>
        </w:rPr>
        <w:t xml:space="preserve">Un ejemplo es la construcción del sistema Opatovac en el condado de Vukovar-Srijem, destinado a irrigar 700 hectáreas de terreno cultivable. </w:t>
      </w:r>
      <w:r>
        <w:rPr>
          <w:color w:val="auto"/>
          <w:lang w:val="es-ES" w:eastAsia="es-ES"/>
        </w:rPr>
        <w:t>Dicho</w:t>
      </w:r>
      <w:r w:rsidRPr="00394096">
        <w:rPr>
          <w:color w:val="auto"/>
          <w:lang w:val="es-ES" w:eastAsia="es-ES"/>
        </w:rPr>
        <w:t xml:space="preserve"> sistema lleva una década inactivo, sin que se haya puesto en funcionamiento siquiera la estación de bombeo. A</w:t>
      </w:r>
      <w:r w:rsidR="00113709">
        <w:rPr>
          <w:color w:val="auto"/>
          <w:lang w:val="es-ES" w:eastAsia="es-ES"/>
        </w:rPr>
        <w:t>dicionalmente</w:t>
      </w:r>
      <w:r w:rsidRPr="00394096">
        <w:rPr>
          <w:color w:val="auto"/>
          <w:lang w:val="es-ES" w:eastAsia="es-ES"/>
        </w:rPr>
        <w:t>, la mayoría de los agricultores carece de la capacidad para invertir en infraestructura de irrigación, lo que resulta en una cifra modesta para el área total equipada con sistemas de irrigación en Croacia durante el año 2019: 29.700 hectáreas.</w:t>
      </w:r>
    </w:p>
    <w:p w14:paraId="7AAF1AEC" w14:textId="0DFAC363" w:rsidR="00217972" w:rsidRPr="00B46777" w:rsidRDefault="00232763" w:rsidP="00217972">
      <w:pPr>
        <w:rPr>
          <w:color w:val="auto"/>
          <w:lang w:val="es-ES" w:eastAsia="es-ES"/>
        </w:rPr>
      </w:pPr>
      <w:r>
        <w:rPr>
          <w:color w:val="auto"/>
          <w:lang w:val="es-ES" w:eastAsia="es-ES"/>
        </w:rPr>
        <w:t>D</w:t>
      </w:r>
      <w:r w:rsidR="005D5C49" w:rsidRPr="005D5C49">
        <w:rPr>
          <w:color w:val="auto"/>
          <w:lang w:val="es-ES" w:eastAsia="es-ES"/>
        </w:rPr>
        <w:t xml:space="preserve">urante una reunión en la que participó el </w:t>
      </w:r>
      <w:r w:rsidR="0026221E">
        <w:rPr>
          <w:color w:val="auto"/>
          <w:lang w:val="es-ES" w:eastAsia="es-ES"/>
        </w:rPr>
        <w:t>j</w:t>
      </w:r>
      <w:r w:rsidR="005D5C49" w:rsidRPr="005D5C49">
        <w:rPr>
          <w:color w:val="auto"/>
          <w:lang w:val="es-ES" w:eastAsia="es-ES"/>
        </w:rPr>
        <w:t xml:space="preserve">efe del </w:t>
      </w:r>
      <w:r w:rsidR="005D5C49" w:rsidRPr="00113709">
        <w:rPr>
          <w:b/>
          <w:bCs/>
          <w:color w:val="auto"/>
          <w:lang w:val="es-ES" w:eastAsia="es-ES"/>
        </w:rPr>
        <w:t>Departamento de Riego y Drenaje</w:t>
      </w:r>
      <w:r w:rsidR="005D5C49" w:rsidRPr="005D5C49">
        <w:rPr>
          <w:color w:val="auto"/>
          <w:lang w:val="es-ES" w:eastAsia="es-ES"/>
        </w:rPr>
        <w:t xml:space="preserve"> del Ministerio de Economía y Desarrollo Sostenible de la República de Croacia, llevada a cabo en </w:t>
      </w:r>
      <w:r w:rsidR="005D5C49" w:rsidRPr="00A04252">
        <w:rPr>
          <w:color w:val="auto"/>
          <w:lang w:val="es-ES" w:eastAsia="es-ES"/>
        </w:rPr>
        <w:t>noviembre de 2021,</w:t>
      </w:r>
      <w:r w:rsidR="005D5C49" w:rsidRPr="005D5C49">
        <w:rPr>
          <w:color w:val="auto"/>
          <w:lang w:val="es-ES" w:eastAsia="es-ES"/>
        </w:rPr>
        <w:t xml:space="preserve"> se compartió que en ese momento se habían desarrollado 20 planes comarcales de irrigación. Además, se destacó que el Gobierno croata había invertido un total de 187 millones de euros en proyectos piloto nacionales de regadío. </w:t>
      </w:r>
      <w:r w:rsidR="005D5C49">
        <w:rPr>
          <w:color w:val="auto"/>
          <w:lang w:val="es-ES" w:eastAsia="es-ES"/>
        </w:rPr>
        <w:t xml:space="preserve">Entre ellos se encuentra, por ejemplo, el proyecto piloto nacional de regadío del Bajo Neretva, </w:t>
      </w:r>
      <w:r w:rsidR="005D5C49" w:rsidRPr="004B389C">
        <w:rPr>
          <w:color w:val="auto"/>
          <w:lang w:val="es-ES" w:eastAsia="es-ES"/>
        </w:rPr>
        <w:t>uno de los mayores ríos de la parte oriental de la cuenca del Adriático</w:t>
      </w:r>
      <w:r w:rsidR="00DB193A">
        <w:rPr>
          <w:color w:val="auto"/>
          <w:lang w:val="es-ES" w:eastAsia="es-ES"/>
        </w:rPr>
        <w:t>.</w:t>
      </w:r>
    </w:p>
    <w:p w14:paraId="4FEA98A8" w14:textId="16D53760" w:rsidR="00503D96" w:rsidRDefault="00503D96" w:rsidP="00503D96">
      <w:pPr>
        <w:pStyle w:val="Ttulo3"/>
      </w:pPr>
      <w:bookmarkStart w:id="28" w:name="_Toc148363703"/>
      <w:r>
        <w:t>Prevención de inundaciones</w:t>
      </w:r>
      <w:bookmarkEnd w:id="28"/>
    </w:p>
    <w:p w14:paraId="0F3DD6CD" w14:textId="168B0408" w:rsidR="00757800" w:rsidRPr="00757800" w:rsidRDefault="00A12AA8" w:rsidP="00A12AA8">
      <w:pPr>
        <w:rPr>
          <w:color w:val="auto"/>
          <w:lang w:val="es-ES" w:eastAsia="es-ES"/>
        </w:rPr>
      </w:pPr>
      <w:bookmarkStart w:id="29" w:name="_Hlk145938015"/>
      <w:r w:rsidRPr="00832777">
        <w:rPr>
          <w:color w:val="auto"/>
          <w:lang w:val="es-ES" w:eastAsia="es-ES"/>
        </w:rPr>
        <w:t xml:space="preserve">Croacia </w:t>
      </w:r>
      <w:r w:rsidRPr="00FE6112">
        <w:rPr>
          <w:b/>
          <w:bCs/>
          <w:color w:val="auto"/>
          <w:lang w:val="es-ES" w:eastAsia="es-ES"/>
        </w:rPr>
        <w:t>sufre periódicamente inundaciones</w:t>
      </w:r>
      <w:r w:rsidRPr="00A12AA8">
        <w:rPr>
          <w:color w:val="auto"/>
          <w:lang w:val="es-ES" w:eastAsia="es-ES"/>
        </w:rPr>
        <w:t xml:space="preserve"> (fluviales, pluviales y costeras) que ocasionan </w:t>
      </w:r>
      <w:r w:rsidRPr="00A150F6">
        <w:rPr>
          <w:color w:val="auto"/>
          <w:u w:val="single"/>
          <w:lang w:val="es-ES" w:eastAsia="es-ES"/>
        </w:rPr>
        <w:t>graves daños económicos</w:t>
      </w:r>
      <w:r w:rsidR="00757800">
        <w:rPr>
          <w:color w:val="auto"/>
          <w:lang w:eastAsia="es-ES"/>
        </w:rPr>
        <w:t>; de hecho, desde 2010, los daños relacionados con estas catástrofes han superado los 298 millones de euros</w:t>
      </w:r>
      <w:r>
        <w:rPr>
          <w:color w:val="auto"/>
          <w:lang w:val="es-ES" w:eastAsia="es-ES"/>
        </w:rPr>
        <w:t>.</w:t>
      </w:r>
      <w:r w:rsidR="00757800" w:rsidRPr="00DF0727">
        <w:rPr>
          <w:rStyle w:val="Refdenotaalpie"/>
        </w:rPr>
        <w:footnoteReference w:id="27"/>
      </w:r>
      <w:r>
        <w:rPr>
          <w:color w:val="auto"/>
          <w:lang w:val="es-ES" w:eastAsia="es-ES"/>
        </w:rPr>
        <w:t xml:space="preserve"> </w:t>
      </w:r>
      <w:r w:rsidR="00FE6112">
        <w:rPr>
          <w:color w:val="auto"/>
          <w:lang w:val="es-ES" w:eastAsia="es-ES"/>
        </w:rPr>
        <w:t xml:space="preserve">En consecuencia, </w:t>
      </w:r>
      <w:r w:rsidR="00833F05">
        <w:rPr>
          <w:color w:val="auto"/>
          <w:lang w:val="es-ES" w:eastAsia="es-ES"/>
        </w:rPr>
        <w:t xml:space="preserve">el Gobierno croata </w:t>
      </w:r>
      <w:r w:rsidR="00D400E9">
        <w:rPr>
          <w:color w:val="auto"/>
          <w:lang w:val="es-ES" w:eastAsia="es-ES"/>
        </w:rPr>
        <w:t>ha</w:t>
      </w:r>
      <w:r w:rsidRPr="00A12AA8">
        <w:rPr>
          <w:color w:val="auto"/>
          <w:lang w:val="es-ES" w:eastAsia="es-ES"/>
        </w:rPr>
        <w:t xml:space="preserve"> elaborado </w:t>
      </w:r>
      <w:r w:rsidR="00833F05">
        <w:rPr>
          <w:color w:val="auto"/>
          <w:lang w:val="es-ES" w:eastAsia="es-ES"/>
        </w:rPr>
        <w:t xml:space="preserve">un </w:t>
      </w:r>
      <w:hyperlink r:id="rId23" w:history="1">
        <w:r w:rsidR="00833F05" w:rsidRPr="00833F05">
          <w:rPr>
            <w:rStyle w:val="Hipervnculo"/>
            <w:b/>
            <w:bCs/>
            <w:lang w:val="es-ES" w:eastAsia="es-ES"/>
          </w:rPr>
          <w:t>Plan Estatal de Defensa contra Inundaciones</w:t>
        </w:r>
      </w:hyperlink>
      <w:r w:rsidR="00A150F6">
        <w:rPr>
          <w:color w:val="auto"/>
          <w:lang w:val="es-ES" w:eastAsia="es-ES"/>
        </w:rPr>
        <w:t xml:space="preserve"> </w:t>
      </w:r>
      <w:r w:rsidR="00833F05">
        <w:rPr>
          <w:color w:val="auto"/>
          <w:lang w:val="es-ES" w:eastAsia="es-ES"/>
        </w:rPr>
        <w:t xml:space="preserve">en conformidad con el </w:t>
      </w:r>
      <w:r w:rsidR="00833F05" w:rsidRPr="00833F05">
        <w:rPr>
          <w:color w:val="auto"/>
          <w:lang w:val="es-ES" w:eastAsia="es-ES"/>
        </w:rPr>
        <w:t>artículo 153 de la Ley de Aguas</w:t>
      </w:r>
      <w:r w:rsidR="00833F05">
        <w:rPr>
          <w:color w:val="auto"/>
          <w:lang w:val="es-ES" w:eastAsia="es-ES"/>
        </w:rPr>
        <w:t xml:space="preserve"> (</w:t>
      </w:r>
      <w:r w:rsidR="00833F05" w:rsidRPr="00833F05">
        <w:rPr>
          <w:color w:val="auto"/>
          <w:lang w:val="es-ES" w:eastAsia="es-ES"/>
        </w:rPr>
        <w:t>"Boletín Oficial del Estado", n</w:t>
      </w:r>
      <w:r w:rsidR="00833F05">
        <w:rPr>
          <w:color w:val="auto"/>
          <w:lang w:val="es-ES" w:eastAsia="es-ES"/>
        </w:rPr>
        <w:t>.</w:t>
      </w:r>
      <w:r w:rsidR="00833F05" w:rsidRPr="00833F05">
        <w:rPr>
          <w:color w:val="auto"/>
          <w:lang w:val="es-ES" w:eastAsia="es-ES"/>
        </w:rPr>
        <w:t>º 2009/24</w:t>
      </w:r>
      <w:r w:rsidR="00833F05">
        <w:rPr>
          <w:color w:val="auto"/>
          <w:lang w:val="es-ES" w:eastAsia="es-ES"/>
        </w:rPr>
        <w:t>)</w:t>
      </w:r>
      <w:r w:rsidRPr="00A12AA8">
        <w:rPr>
          <w:color w:val="auto"/>
          <w:lang w:val="es-ES" w:eastAsia="es-ES"/>
        </w:rPr>
        <w:t>.</w:t>
      </w:r>
      <w:r w:rsidR="002B7B3C">
        <w:rPr>
          <w:color w:val="auto"/>
          <w:lang w:val="es-ES" w:eastAsia="es-ES"/>
        </w:rPr>
        <w:t xml:space="preserve"> Además, </w:t>
      </w:r>
      <w:r w:rsidR="002B7B3C" w:rsidRPr="002B7B3C">
        <w:rPr>
          <w:color w:val="auto"/>
          <w:lang w:val="es-ES" w:eastAsia="es-ES"/>
        </w:rPr>
        <w:t xml:space="preserve">de acuerdo con la Ley de Aguas, la agencia estatal </w:t>
      </w:r>
      <w:bookmarkStart w:id="30" w:name="_Hlk144394947"/>
      <w:r w:rsidR="002B7B3C" w:rsidRPr="00832777">
        <w:rPr>
          <w:b/>
          <w:bCs/>
          <w:color w:val="auto"/>
          <w:lang w:val="es-ES" w:eastAsia="es-ES"/>
        </w:rPr>
        <w:t>Hrvatske Vode</w:t>
      </w:r>
      <w:bookmarkEnd w:id="30"/>
      <w:r w:rsidR="002B7B3C" w:rsidRPr="002B7B3C">
        <w:rPr>
          <w:color w:val="auto"/>
          <w:lang w:val="es-ES" w:eastAsia="es-ES"/>
        </w:rPr>
        <w:t xml:space="preserve"> tiene la responsabilidad de llevar a cabo</w:t>
      </w:r>
      <w:r w:rsidR="002B7B3C" w:rsidRPr="00A12AA8">
        <w:rPr>
          <w:color w:val="auto"/>
          <w:lang w:val="es-ES" w:eastAsia="es-ES"/>
        </w:rPr>
        <w:t xml:space="preserve"> una </w:t>
      </w:r>
      <w:r w:rsidR="002B7B3C" w:rsidRPr="00832777">
        <w:rPr>
          <w:b/>
          <w:bCs/>
          <w:color w:val="auto"/>
          <w:lang w:val="es-ES" w:eastAsia="es-ES"/>
        </w:rPr>
        <w:t>evaluación preliminar de riesgos de inundación</w:t>
      </w:r>
      <w:r w:rsidR="002B7B3C" w:rsidRPr="00A12AA8">
        <w:rPr>
          <w:color w:val="auto"/>
          <w:lang w:val="es-ES" w:eastAsia="es-ES"/>
        </w:rPr>
        <w:t xml:space="preserve">, </w:t>
      </w:r>
      <w:r w:rsidR="002B7B3C" w:rsidRPr="00832777">
        <w:rPr>
          <w:b/>
          <w:bCs/>
          <w:color w:val="auto"/>
          <w:lang w:val="es-ES" w:eastAsia="es-ES"/>
        </w:rPr>
        <w:t>elaborar mapas de peligrosidad</w:t>
      </w:r>
      <w:r w:rsidR="002B7B3C" w:rsidRPr="00A12AA8">
        <w:rPr>
          <w:color w:val="auto"/>
          <w:lang w:val="es-ES" w:eastAsia="es-ES"/>
        </w:rPr>
        <w:t xml:space="preserve"> </w:t>
      </w:r>
      <w:r w:rsidR="00D400E9" w:rsidRPr="00D400E9">
        <w:rPr>
          <w:color w:val="auto"/>
          <w:lang w:val="es-ES" w:eastAsia="es-ES"/>
        </w:rPr>
        <w:t xml:space="preserve">y </w:t>
      </w:r>
      <w:r w:rsidR="00D400E9" w:rsidRPr="00832777">
        <w:rPr>
          <w:b/>
          <w:bCs/>
          <w:color w:val="auto"/>
          <w:lang w:val="es-ES" w:eastAsia="es-ES"/>
        </w:rPr>
        <w:t>preparar estrategias</w:t>
      </w:r>
      <w:r w:rsidR="00D400E9" w:rsidRPr="00D400E9">
        <w:rPr>
          <w:color w:val="auto"/>
          <w:lang w:val="es-ES" w:eastAsia="es-ES"/>
        </w:rPr>
        <w:t xml:space="preserve"> para la gestión de dichos riesgos.</w:t>
      </w:r>
    </w:p>
    <w:p w14:paraId="6139A822" w14:textId="4CF85BE4" w:rsidR="00A12AA8" w:rsidRPr="00A12AA8" w:rsidRDefault="002B7B3C" w:rsidP="00A12AA8">
      <w:pPr>
        <w:rPr>
          <w:color w:val="auto"/>
          <w:lang w:val="es-ES" w:eastAsia="es-ES"/>
        </w:rPr>
      </w:pPr>
      <w:r>
        <w:rPr>
          <w:color w:val="auto"/>
          <w:lang w:val="es-ES" w:eastAsia="es-ES"/>
        </w:rPr>
        <w:t>Actualmente, en la cuenca del Danubio l</w:t>
      </w:r>
      <w:r w:rsidR="00A12AA8" w:rsidRPr="00A12AA8">
        <w:rPr>
          <w:color w:val="auto"/>
          <w:lang w:val="es-ES" w:eastAsia="es-ES"/>
        </w:rPr>
        <w:t xml:space="preserve">as medidas de protección se basan </w:t>
      </w:r>
      <w:r>
        <w:rPr>
          <w:color w:val="auto"/>
          <w:lang w:val="es-ES" w:eastAsia="es-ES"/>
        </w:rPr>
        <w:t xml:space="preserve">principalmente </w:t>
      </w:r>
      <w:r w:rsidR="00A12AA8" w:rsidRPr="00A12AA8">
        <w:rPr>
          <w:color w:val="auto"/>
          <w:lang w:val="es-ES" w:eastAsia="es-ES"/>
        </w:rPr>
        <w:t xml:space="preserve">en el </w:t>
      </w:r>
      <w:r w:rsidR="00A12AA8" w:rsidRPr="00832777">
        <w:rPr>
          <w:color w:val="auto"/>
          <w:u w:val="single"/>
          <w:lang w:val="es-ES" w:eastAsia="es-ES"/>
        </w:rPr>
        <w:t xml:space="preserve">almacenamiento de </w:t>
      </w:r>
      <w:r w:rsidR="00833F05" w:rsidRPr="00832777">
        <w:rPr>
          <w:color w:val="auto"/>
          <w:u w:val="single"/>
          <w:lang w:val="es-ES" w:eastAsia="es-ES"/>
        </w:rPr>
        <w:t>crecidas</w:t>
      </w:r>
      <w:r w:rsidR="00A12AA8" w:rsidRPr="00832777">
        <w:rPr>
          <w:color w:val="auto"/>
          <w:u w:val="single"/>
          <w:lang w:val="es-ES" w:eastAsia="es-ES"/>
        </w:rPr>
        <w:t xml:space="preserve"> en zonas bajas</w:t>
      </w:r>
      <w:r w:rsidR="00A12AA8" w:rsidRPr="00A12AA8">
        <w:rPr>
          <w:color w:val="auto"/>
          <w:lang w:val="es-ES" w:eastAsia="es-ES"/>
        </w:rPr>
        <w:t xml:space="preserve">, con terraplenes y </w:t>
      </w:r>
      <w:r w:rsidR="00D400E9">
        <w:rPr>
          <w:color w:val="auto"/>
          <w:lang w:val="es-ES" w:eastAsia="es-ES"/>
        </w:rPr>
        <w:t>“</w:t>
      </w:r>
      <w:r w:rsidR="00A12AA8" w:rsidRPr="00A12AA8">
        <w:rPr>
          <w:color w:val="auto"/>
          <w:lang w:val="es-ES" w:eastAsia="es-ES"/>
        </w:rPr>
        <w:t>espacio para el río</w:t>
      </w:r>
      <w:r w:rsidR="00D400E9">
        <w:rPr>
          <w:color w:val="auto"/>
          <w:lang w:val="es-ES" w:eastAsia="es-ES"/>
        </w:rPr>
        <w:t>”</w:t>
      </w:r>
      <w:r>
        <w:rPr>
          <w:color w:val="auto"/>
          <w:lang w:val="es-ES" w:eastAsia="es-ES"/>
        </w:rPr>
        <w:t>.</w:t>
      </w:r>
      <w:r w:rsidR="00D400E9">
        <w:rPr>
          <w:rStyle w:val="Refdenotaalpie"/>
          <w:lang w:val="es-ES" w:eastAsia="es-ES"/>
        </w:rPr>
        <w:footnoteReference w:id="28"/>
      </w:r>
    </w:p>
    <w:p w14:paraId="15CA4A29" w14:textId="0AFB9D9B" w:rsidR="00A920F0" w:rsidRPr="00D7081E" w:rsidRDefault="0076436D" w:rsidP="00D7081E">
      <w:pPr>
        <w:rPr>
          <w:color w:val="auto"/>
          <w:lang w:val="es-ES" w:eastAsia="es-ES"/>
        </w:rPr>
      </w:pPr>
      <w:r>
        <w:rPr>
          <w:color w:val="auto"/>
          <w:lang w:val="es-ES" w:eastAsia="es-ES"/>
        </w:rPr>
        <w:t>Por otro lado</w:t>
      </w:r>
      <w:r w:rsidR="00D400E9">
        <w:rPr>
          <w:color w:val="auto"/>
          <w:lang w:val="es-ES" w:eastAsia="es-ES"/>
        </w:rPr>
        <w:t xml:space="preserve">, </w:t>
      </w:r>
      <w:r w:rsidRPr="0076436D">
        <w:rPr>
          <w:color w:val="auto"/>
          <w:lang w:val="es-ES" w:eastAsia="es-ES"/>
        </w:rPr>
        <w:t xml:space="preserve">como parte del programa de colaboración entre el Banco de Desarrollo del Consejo de Europa (CEB) y la República de Croacia, se ha concebido un </w:t>
      </w:r>
      <w:r w:rsidRPr="00832777">
        <w:rPr>
          <w:b/>
          <w:bCs/>
          <w:color w:val="auto"/>
          <w:lang w:val="es-ES" w:eastAsia="es-ES"/>
        </w:rPr>
        <w:t>plan integral de prevención de inundaciones</w:t>
      </w:r>
      <w:r w:rsidRPr="0076436D">
        <w:rPr>
          <w:color w:val="auto"/>
          <w:lang w:val="es-ES" w:eastAsia="es-ES"/>
        </w:rPr>
        <w:t>.</w:t>
      </w:r>
      <w:r w:rsidR="00832777">
        <w:rPr>
          <w:rStyle w:val="Refdenotaalpie"/>
          <w:lang w:val="es-ES" w:eastAsia="es-ES"/>
        </w:rPr>
        <w:footnoteReference w:id="29"/>
      </w:r>
      <w:r w:rsidRPr="0076436D">
        <w:rPr>
          <w:color w:val="auto"/>
          <w:lang w:val="es-ES" w:eastAsia="es-ES"/>
        </w:rPr>
        <w:t xml:space="preserve"> Este proyecto tiene como objetivo principal el fortalecimiento del sistema actual de protección contra inundaciones, su rehabilitación y su expansión, con el fin de alcanzar un nivel </w:t>
      </w:r>
      <w:r w:rsidRPr="0076436D">
        <w:rPr>
          <w:color w:val="auto"/>
          <w:lang w:val="es-ES" w:eastAsia="es-ES"/>
        </w:rPr>
        <w:lastRenderedPageBreak/>
        <w:t>óptimo de resguardo en las cuencas fluviales de determinados ríos en el país. Asimismo, se pretende mitigar los impactos tanto sociales como económicos asociados a posibles eventos de inundación.</w:t>
      </w:r>
      <w:r w:rsidR="00D7081E">
        <w:rPr>
          <w:color w:val="auto"/>
          <w:lang w:val="es-ES" w:eastAsia="es-ES"/>
        </w:rPr>
        <w:t xml:space="preserve"> </w:t>
      </w:r>
      <w:r w:rsidRPr="0076436D">
        <w:rPr>
          <w:color w:val="auto"/>
          <w:lang w:val="es-ES" w:eastAsia="es-ES"/>
        </w:rPr>
        <w:t>La responsabilidad de supervisar este proyecto recae en el Ministerio de Economía y Desarrollo Sostenible, mientras que la ejecución estará a cargo de Hrvatske Vode. El costo total de esta iniciativa asciende a 80 millones de euros</w:t>
      </w:r>
      <w:r w:rsidR="00832777">
        <w:rPr>
          <w:color w:val="auto"/>
          <w:lang w:val="es-ES" w:eastAsia="es-ES"/>
        </w:rPr>
        <w:t xml:space="preserve"> y </w:t>
      </w:r>
      <w:r w:rsidRPr="0076436D">
        <w:rPr>
          <w:color w:val="auto"/>
          <w:lang w:val="es-ES" w:eastAsia="es-ES"/>
        </w:rPr>
        <w:t>se espera que el 50</w:t>
      </w:r>
      <w:r w:rsidR="00D0081F">
        <w:rPr>
          <w:color w:val="auto"/>
          <w:lang w:val="es-ES" w:eastAsia="es-ES"/>
        </w:rPr>
        <w:t xml:space="preserve"> </w:t>
      </w:r>
      <w:r w:rsidRPr="0076436D">
        <w:rPr>
          <w:color w:val="auto"/>
          <w:lang w:val="es-ES" w:eastAsia="es-ES"/>
        </w:rPr>
        <w:t xml:space="preserve">% </w:t>
      </w:r>
      <w:r w:rsidR="00832777">
        <w:rPr>
          <w:color w:val="auto"/>
          <w:lang w:val="es-ES" w:eastAsia="es-ES"/>
        </w:rPr>
        <w:t xml:space="preserve">de la financiación </w:t>
      </w:r>
      <w:r w:rsidRPr="0076436D">
        <w:rPr>
          <w:color w:val="auto"/>
          <w:lang w:val="es-ES" w:eastAsia="es-ES"/>
        </w:rPr>
        <w:t>provenga del CEB, en tanto que el restante 50</w:t>
      </w:r>
      <w:r w:rsidR="00D0081F">
        <w:rPr>
          <w:color w:val="auto"/>
          <w:lang w:val="es-ES" w:eastAsia="es-ES"/>
        </w:rPr>
        <w:t xml:space="preserve"> </w:t>
      </w:r>
      <w:r w:rsidRPr="0076436D">
        <w:rPr>
          <w:color w:val="auto"/>
          <w:lang w:val="es-ES" w:eastAsia="es-ES"/>
        </w:rPr>
        <w:t xml:space="preserve">% será aportado por </w:t>
      </w:r>
      <w:proofErr w:type="spellStart"/>
      <w:r w:rsidRPr="0076436D">
        <w:rPr>
          <w:color w:val="auto"/>
          <w:lang w:val="es-ES" w:eastAsia="es-ES"/>
        </w:rPr>
        <w:t>Hrvatske</w:t>
      </w:r>
      <w:proofErr w:type="spellEnd"/>
      <w:r w:rsidRPr="0076436D">
        <w:rPr>
          <w:color w:val="auto"/>
          <w:lang w:val="es-ES" w:eastAsia="es-ES"/>
        </w:rPr>
        <w:t xml:space="preserve"> </w:t>
      </w:r>
      <w:proofErr w:type="spellStart"/>
      <w:r w:rsidRPr="0076436D">
        <w:rPr>
          <w:color w:val="auto"/>
          <w:lang w:val="es-ES" w:eastAsia="es-ES"/>
        </w:rPr>
        <w:t>Vode</w:t>
      </w:r>
      <w:proofErr w:type="spellEnd"/>
      <w:r w:rsidRPr="0076436D">
        <w:rPr>
          <w:color w:val="auto"/>
          <w:lang w:val="es-ES" w:eastAsia="es-ES"/>
        </w:rPr>
        <w:t>.</w:t>
      </w:r>
      <w:bookmarkEnd w:id="29"/>
    </w:p>
    <w:p w14:paraId="2A83F5A7" w14:textId="280C6833" w:rsidR="00503D96" w:rsidRDefault="00503D96" w:rsidP="00503D96">
      <w:pPr>
        <w:pStyle w:val="Ttulo3"/>
      </w:pPr>
      <w:bookmarkStart w:id="31" w:name="_Toc148363704"/>
      <w:r>
        <w:t>Desalinización</w:t>
      </w:r>
      <w:bookmarkEnd w:id="31"/>
    </w:p>
    <w:p w14:paraId="1C509F4D" w14:textId="2C55112C" w:rsidR="00CB3B96" w:rsidRDefault="00CB3B96" w:rsidP="00CB3B96">
      <w:pPr>
        <w:rPr>
          <w:color w:val="auto"/>
          <w:lang w:val="es-ES" w:eastAsia="es-ES"/>
        </w:rPr>
      </w:pPr>
      <w:r w:rsidRPr="00CB3B96">
        <w:rPr>
          <w:color w:val="auto"/>
          <w:lang w:val="es-ES" w:eastAsia="es-ES"/>
        </w:rPr>
        <w:t xml:space="preserve">El sector de la desalinización en Croacia </w:t>
      </w:r>
      <w:r w:rsidRPr="00B435C3">
        <w:rPr>
          <w:b/>
          <w:bCs/>
          <w:color w:val="auto"/>
          <w:lang w:val="es-ES" w:eastAsia="es-ES"/>
        </w:rPr>
        <w:t>no ostenta la misma importancia</w:t>
      </w:r>
      <w:r w:rsidRPr="00CB3B96">
        <w:rPr>
          <w:color w:val="auto"/>
          <w:lang w:val="es-ES" w:eastAsia="es-ES"/>
        </w:rPr>
        <w:t xml:space="preserve"> que otros ámbitos dentro del país. Esto se debe principalmente a que </w:t>
      </w:r>
      <w:r w:rsidRPr="00B435C3">
        <w:rPr>
          <w:color w:val="auto"/>
          <w:u w:val="single"/>
          <w:lang w:val="es-ES" w:eastAsia="es-ES"/>
        </w:rPr>
        <w:t>la mayoría de las islas cuentan con sus propios recursos hídricos y generalmente se abastecen desde el continente</w:t>
      </w:r>
      <w:r w:rsidRPr="00CB3B96">
        <w:rPr>
          <w:color w:val="auto"/>
          <w:lang w:val="es-ES" w:eastAsia="es-ES"/>
        </w:rPr>
        <w:t>. Además, según Hrvatske Vode, el empleo de fuentes alternativas de agua aún no se ha extendido lo suficiente</w:t>
      </w:r>
      <w:r>
        <w:rPr>
          <w:color w:val="auto"/>
          <w:lang w:val="es-ES" w:eastAsia="es-ES"/>
        </w:rPr>
        <w:t xml:space="preserve"> a causa de la</w:t>
      </w:r>
      <w:r w:rsidRPr="00CB3B96">
        <w:rPr>
          <w:color w:val="auto"/>
          <w:lang w:val="es-ES" w:eastAsia="es-ES"/>
        </w:rPr>
        <w:t xml:space="preserve"> </w:t>
      </w:r>
      <w:r w:rsidRPr="00B435C3">
        <w:rPr>
          <w:color w:val="auto"/>
          <w:u w:val="single"/>
          <w:lang w:val="es-ES" w:eastAsia="es-ES"/>
        </w:rPr>
        <w:t>percepción persistente del agua como un recurso inagotable</w:t>
      </w:r>
      <w:r w:rsidRPr="00CB3B96">
        <w:rPr>
          <w:color w:val="auto"/>
          <w:lang w:val="es-ES" w:eastAsia="es-ES"/>
        </w:rPr>
        <w:t xml:space="preserve">. </w:t>
      </w:r>
      <w:r>
        <w:rPr>
          <w:color w:val="auto"/>
          <w:lang w:val="es-ES" w:eastAsia="es-ES"/>
        </w:rPr>
        <w:t>Sin embargo, esto podría cambiar en un futuro</w:t>
      </w:r>
      <w:r w:rsidR="008C290E">
        <w:rPr>
          <w:color w:val="auto"/>
          <w:lang w:val="es-ES" w:eastAsia="es-ES"/>
        </w:rPr>
        <w:t xml:space="preserve">, </w:t>
      </w:r>
      <w:r w:rsidR="008C290E" w:rsidRPr="008C290E">
        <w:rPr>
          <w:color w:val="auto"/>
          <w:lang w:val="es-ES" w:eastAsia="es-ES"/>
        </w:rPr>
        <w:t xml:space="preserve">especialmente considerando </w:t>
      </w:r>
      <w:r w:rsidR="006E7A14">
        <w:rPr>
          <w:color w:val="auto"/>
          <w:lang w:val="es-ES" w:eastAsia="es-ES"/>
        </w:rPr>
        <w:t>el elevado flujo de turistas durante los meses de verano.</w:t>
      </w:r>
    </w:p>
    <w:p w14:paraId="68CCC892" w14:textId="3D42C072" w:rsidR="00B435C3" w:rsidRPr="00B435C3" w:rsidRDefault="00B435C3" w:rsidP="00B435C3">
      <w:pPr>
        <w:rPr>
          <w:color w:val="auto"/>
          <w:lang w:val="es-ES" w:eastAsia="es-ES"/>
        </w:rPr>
      </w:pPr>
      <w:r w:rsidRPr="00B435C3">
        <w:rPr>
          <w:color w:val="auto"/>
          <w:lang w:val="es-ES" w:eastAsia="es-ES"/>
        </w:rPr>
        <w:t xml:space="preserve">En Croacia, </w:t>
      </w:r>
      <w:r w:rsidRPr="00B435C3">
        <w:rPr>
          <w:b/>
          <w:bCs/>
          <w:color w:val="auto"/>
          <w:lang w:val="es-ES" w:eastAsia="es-ES"/>
        </w:rPr>
        <w:t xml:space="preserve">las plantas de desalinización se concentran </w:t>
      </w:r>
      <w:r w:rsidRPr="00A04252">
        <w:rPr>
          <w:b/>
          <w:bCs/>
          <w:color w:val="auto"/>
          <w:lang w:val="es-ES" w:eastAsia="es-ES"/>
        </w:rPr>
        <w:t>principalmente</w:t>
      </w:r>
      <w:r>
        <w:rPr>
          <w:b/>
          <w:bCs/>
          <w:color w:val="auto"/>
          <w:lang w:val="es-ES" w:eastAsia="es-ES"/>
        </w:rPr>
        <w:t xml:space="preserve"> </w:t>
      </w:r>
      <w:r w:rsidRPr="00B435C3">
        <w:rPr>
          <w:b/>
          <w:bCs/>
          <w:color w:val="auto"/>
          <w:lang w:val="es-ES" w:eastAsia="es-ES"/>
        </w:rPr>
        <w:t>en islas pequeñas con sistemas de suministro de agua propios</w:t>
      </w:r>
      <w:r w:rsidRPr="00B435C3">
        <w:rPr>
          <w:color w:val="auto"/>
          <w:lang w:val="es-ES" w:eastAsia="es-ES"/>
        </w:rPr>
        <w:t xml:space="preserve">. </w:t>
      </w:r>
      <w:r w:rsidR="008C290E" w:rsidRPr="008C290E">
        <w:rPr>
          <w:color w:val="auto"/>
          <w:lang w:val="es-ES" w:eastAsia="es-ES"/>
        </w:rPr>
        <w:t>En la actualidad, varias islas como Lastovo, Mljet (con tres plantas desde 1999), Dugi Otok, Susak, Pag, Unije y Krk tienen plantas en funcionamiento.</w:t>
      </w:r>
    </w:p>
    <w:p w14:paraId="5672E6E6" w14:textId="666041DA" w:rsidR="00CB3B96" w:rsidRPr="00B46777" w:rsidRDefault="00B435C3" w:rsidP="00CB3B96">
      <w:pPr>
        <w:rPr>
          <w:color w:val="auto"/>
          <w:lang w:val="es-ES" w:eastAsia="es-ES"/>
        </w:rPr>
      </w:pPr>
      <w:r w:rsidRPr="00B435C3">
        <w:rPr>
          <w:color w:val="auto"/>
          <w:lang w:val="es-ES" w:eastAsia="es-ES"/>
        </w:rPr>
        <w:t>En</w:t>
      </w:r>
      <w:r w:rsidR="008C290E">
        <w:rPr>
          <w:color w:val="auto"/>
          <w:lang w:val="es-ES" w:eastAsia="es-ES"/>
        </w:rPr>
        <w:t xml:space="preserve"> el caso de</w:t>
      </w:r>
      <w:r w:rsidRPr="00B435C3">
        <w:rPr>
          <w:color w:val="auto"/>
          <w:lang w:val="es-ES" w:eastAsia="es-ES"/>
        </w:rPr>
        <w:t xml:space="preserve"> Mljet, </w:t>
      </w:r>
      <w:r w:rsidR="008C290E">
        <w:rPr>
          <w:color w:val="auto"/>
          <w:lang w:val="es-ES" w:eastAsia="es-ES"/>
        </w:rPr>
        <w:t xml:space="preserve">por ejemplo, </w:t>
      </w:r>
      <w:r w:rsidRPr="00B435C3">
        <w:rPr>
          <w:color w:val="auto"/>
          <w:lang w:val="es-ES" w:eastAsia="es-ES"/>
        </w:rPr>
        <w:t>gran parte del suministro proviene de lagos de agua salada, lo que destaca la importancia de la calidad del agua en su autosuficiencia.</w:t>
      </w:r>
    </w:p>
    <w:p w14:paraId="2C320ED0" w14:textId="6FA437FE" w:rsidR="004B36AD" w:rsidRDefault="00503D96" w:rsidP="0099072F">
      <w:pPr>
        <w:pStyle w:val="Ttulo2"/>
      </w:pPr>
      <w:bookmarkStart w:id="32" w:name="_Toc148363705"/>
      <w:r>
        <w:t>Financiación de proyectos</w:t>
      </w:r>
      <w:r w:rsidR="004B36AD">
        <w:t xml:space="preserve"> hídricos</w:t>
      </w:r>
      <w:bookmarkEnd w:id="32"/>
    </w:p>
    <w:p w14:paraId="7D3DA7D6" w14:textId="1E833D3A" w:rsidR="000F7102" w:rsidRDefault="004B36AD" w:rsidP="00631A4F">
      <w:pPr>
        <w:rPr>
          <w:color w:val="auto"/>
          <w:lang w:val="es-ES" w:eastAsia="es-ES"/>
        </w:rPr>
      </w:pPr>
      <w:bookmarkStart w:id="33" w:name="_Hlk145939866"/>
      <w:r w:rsidRPr="004B36AD">
        <w:rPr>
          <w:color w:val="auto"/>
          <w:lang w:val="es-ES" w:eastAsia="es-ES"/>
        </w:rPr>
        <w:t>Croacia se convirtió en el miembro más reciente de la Unión Europea</w:t>
      </w:r>
      <w:bookmarkEnd w:id="33"/>
      <w:r w:rsidRPr="004B36AD">
        <w:rPr>
          <w:color w:val="auto"/>
          <w:lang w:val="es-ES" w:eastAsia="es-ES"/>
        </w:rPr>
        <w:t xml:space="preserve"> en 2013. </w:t>
      </w:r>
      <w:bookmarkStart w:id="34" w:name="_Hlk145939881"/>
      <w:r w:rsidRPr="004B36AD">
        <w:rPr>
          <w:color w:val="auto"/>
          <w:lang w:val="es-ES" w:eastAsia="es-ES"/>
        </w:rPr>
        <w:t xml:space="preserve">Desde su incorporación, ha sido beneficiario de significativos </w:t>
      </w:r>
      <w:r w:rsidRPr="00D74284">
        <w:rPr>
          <w:b/>
          <w:bCs/>
          <w:color w:val="auto"/>
          <w:lang w:val="es-ES" w:eastAsia="es-ES"/>
        </w:rPr>
        <w:t>fondos económicos</w:t>
      </w:r>
      <w:r w:rsidR="00E60CF0" w:rsidRPr="00D74284">
        <w:rPr>
          <w:b/>
          <w:bCs/>
          <w:color w:val="auto"/>
          <w:lang w:val="es-ES" w:eastAsia="es-ES"/>
        </w:rPr>
        <w:t xml:space="preserve"> provenientes </w:t>
      </w:r>
      <w:r w:rsidRPr="00D74284">
        <w:rPr>
          <w:b/>
          <w:bCs/>
          <w:color w:val="auto"/>
          <w:lang w:val="es-ES" w:eastAsia="es-ES"/>
        </w:rPr>
        <w:t>de la</w:t>
      </w:r>
      <w:r w:rsidRPr="004B36AD">
        <w:rPr>
          <w:color w:val="auto"/>
          <w:lang w:val="es-ES" w:eastAsia="es-ES"/>
        </w:rPr>
        <w:t xml:space="preserve"> </w:t>
      </w:r>
      <w:r w:rsidRPr="000F7102">
        <w:rPr>
          <w:b/>
          <w:bCs/>
          <w:color w:val="auto"/>
          <w:lang w:val="es-ES" w:eastAsia="es-ES"/>
        </w:rPr>
        <w:t>U</w:t>
      </w:r>
      <w:r w:rsidR="003140C2">
        <w:rPr>
          <w:b/>
          <w:bCs/>
          <w:color w:val="auto"/>
          <w:lang w:val="es-ES" w:eastAsia="es-ES"/>
        </w:rPr>
        <w:t>E</w:t>
      </w:r>
      <w:r w:rsidR="003140C2" w:rsidRPr="003140C2">
        <w:rPr>
          <w:color w:val="auto"/>
          <w:lang w:val="es-ES" w:eastAsia="es-ES"/>
        </w:rPr>
        <w:t>.</w:t>
      </w:r>
      <w:bookmarkEnd w:id="34"/>
    </w:p>
    <w:p w14:paraId="2518522B" w14:textId="5DF92AEC" w:rsidR="00C14C17" w:rsidRDefault="00C14C17" w:rsidP="00C14C17">
      <w:pPr>
        <w:rPr>
          <w:color w:val="auto"/>
          <w:lang w:val="es-ES" w:eastAsia="es-ES"/>
        </w:rPr>
      </w:pPr>
      <w:r w:rsidRPr="00C14C17">
        <w:rPr>
          <w:color w:val="auto"/>
          <w:lang w:val="es-ES" w:eastAsia="es-ES"/>
        </w:rPr>
        <w:t xml:space="preserve">Los </w:t>
      </w:r>
      <w:r w:rsidR="002A6379">
        <w:rPr>
          <w:b/>
          <w:bCs/>
          <w:color w:val="auto"/>
          <w:lang w:val="es-ES" w:eastAsia="es-ES"/>
        </w:rPr>
        <w:t>Fondos Estructurales y de Inversión Europeos</w:t>
      </w:r>
      <w:r w:rsidR="002A6379" w:rsidRPr="002A6379">
        <w:rPr>
          <w:color w:val="auto"/>
          <w:lang w:val="es-ES" w:eastAsia="es-ES"/>
        </w:rPr>
        <w:t xml:space="preserve"> </w:t>
      </w:r>
      <w:r w:rsidRPr="002A6379">
        <w:rPr>
          <w:color w:val="auto"/>
          <w:lang w:val="es-ES" w:eastAsia="es-ES"/>
        </w:rPr>
        <w:t xml:space="preserve">se </w:t>
      </w:r>
      <w:r w:rsidRPr="00C14C17">
        <w:rPr>
          <w:color w:val="auto"/>
          <w:lang w:val="es-ES" w:eastAsia="es-ES"/>
        </w:rPr>
        <w:t xml:space="preserve">distribuyen en ciclos financieros que duran siete años, y en estos momentos estamos en el ciclo correspondiente al </w:t>
      </w:r>
      <w:r w:rsidRPr="00C14C17">
        <w:rPr>
          <w:b/>
          <w:bCs/>
          <w:color w:val="auto"/>
          <w:lang w:val="es-ES" w:eastAsia="es-ES"/>
        </w:rPr>
        <w:t>periodo 2021-2027</w:t>
      </w:r>
      <w:r w:rsidRPr="00C14C17">
        <w:rPr>
          <w:color w:val="auto"/>
          <w:lang w:val="es-ES" w:eastAsia="es-ES"/>
        </w:rPr>
        <w:t>. El volumen financiero del actual presupuesto de la Unión Europea es el más elevado hasta la fecha, alcanzando una cifra de 1</w:t>
      </w:r>
      <w:r w:rsidR="00354BD6">
        <w:rPr>
          <w:color w:val="auto"/>
          <w:lang w:val="es-ES" w:eastAsia="es-ES"/>
        </w:rPr>
        <w:t>.</w:t>
      </w:r>
      <w:r w:rsidRPr="00C14C17">
        <w:rPr>
          <w:color w:val="auto"/>
          <w:lang w:val="es-ES" w:eastAsia="es-ES"/>
        </w:rPr>
        <w:t>824 millones</w:t>
      </w:r>
      <w:r>
        <w:rPr>
          <w:color w:val="auto"/>
          <w:lang w:val="es-ES" w:eastAsia="es-ES"/>
        </w:rPr>
        <w:t xml:space="preserve"> de euros</w:t>
      </w:r>
      <w:r w:rsidRPr="00C14C17">
        <w:rPr>
          <w:color w:val="auto"/>
          <w:lang w:val="es-ES" w:eastAsia="es-ES"/>
        </w:rPr>
        <w:t>. De este total, cerca de</w:t>
      </w:r>
      <w:r>
        <w:rPr>
          <w:color w:val="auto"/>
          <w:lang w:val="es-ES" w:eastAsia="es-ES"/>
        </w:rPr>
        <w:t xml:space="preserve"> </w:t>
      </w:r>
      <w:r w:rsidRPr="00C14C17">
        <w:rPr>
          <w:b/>
          <w:bCs/>
          <w:color w:val="auto"/>
          <w:lang w:val="es-ES" w:eastAsia="es-ES"/>
        </w:rPr>
        <w:t>25 mil millones</w:t>
      </w:r>
      <w:r>
        <w:rPr>
          <w:color w:val="auto"/>
          <w:lang w:val="es-ES" w:eastAsia="es-ES"/>
        </w:rPr>
        <w:t xml:space="preserve"> de euros</w:t>
      </w:r>
      <w:r w:rsidRPr="00C14C17">
        <w:rPr>
          <w:color w:val="auto"/>
          <w:lang w:val="es-ES" w:eastAsia="es-ES"/>
        </w:rPr>
        <w:t xml:space="preserve"> se han reservado específicamente para la República de Croacia.</w:t>
      </w:r>
      <w:r w:rsidR="00BE6DB2">
        <w:rPr>
          <w:rStyle w:val="Refdenotaalpie"/>
          <w:lang w:val="es-ES" w:eastAsia="es-ES"/>
        </w:rPr>
        <w:footnoteReference w:id="30"/>
      </w:r>
      <w:r w:rsidR="00BE6DB2">
        <w:rPr>
          <w:color w:val="auto"/>
          <w:lang w:val="es-ES" w:eastAsia="es-ES"/>
        </w:rPr>
        <w:t xml:space="preserve"> </w:t>
      </w:r>
      <w:r w:rsidRPr="00C14C17">
        <w:rPr>
          <w:color w:val="auto"/>
          <w:lang w:val="es-ES" w:eastAsia="es-ES"/>
        </w:rPr>
        <w:t>Es importante destacar que todavía podrían estar en marcha o surgir nuevos proyectos en Croacia que se financien con fondos asignados durante el periodo financiero anterior, 2014-2020.</w:t>
      </w:r>
    </w:p>
    <w:p w14:paraId="114BBB16" w14:textId="26F7AC4C" w:rsidR="00596A3A" w:rsidRDefault="00596A3A" w:rsidP="00596A3A">
      <w:pPr>
        <w:rPr>
          <w:color w:val="auto"/>
          <w:lang w:val="es-ES" w:eastAsia="es-ES"/>
        </w:rPr>
      </w:pPr>
      <w:r>
        <w:rPr>
          <w:color w:val="auto"/>
          <w:lang w:val="es-ES" w:eastAsia="es-ES"/>
        </w:rPr>
        <w:t xml:space="preserve">Dentro del paquete financiero correspondiente a 2021-2027, </w:t>
      </w:r>
      <w:r w:rsidRPr="002A6379">
        <w:rPr>
          <w:color w:val="auto"/>
          <w:lang w:val="es-ES" w:eastAsia="es-ES"/>
        </w:rPr>
        <w:t xml:space="preserve">la </w:t>
      </w:r>
      <w:r w:rsidRPr="00A04252">
        <w:rPr>
          <w:color w:val="auto"/>
          <w:lang w:val="es-ES" w:eastAsia="es-ES"/>
        </w:rPr>
        <w:t>distribución de los fondos</w:t>
      </w:r>
      <w:r w:rsidRPr="002A6379">
        <w:rPr>
          <w:color w:val="auto"/>
          <w:lang w:val="es-ES" w:eastAsia="es-ES"/>
        </w:rPr>
        <w:t xml:space="preserve"> para Croacia se divide de la siguiente forma:</w:t>
      </w:r>
    </w:p>
    <w:p w14:paraId="0699A1C6" w14:textId="1E92AF26" w:rsidR="00083531" w:rsidRDefault="00083531" w:rsidP="00083531">
      <w:pPr>
        <w:pStyle w:val="TtuloTablas"/>
      </w:pPr>
      <w:r>
        <w:lastRenderedPageBreak/>
        <w:t>TABLa 7: DISTRIBUCIÓN DE LOS FONDOS ESTRUCTURALES Y DE INVERSIÓN EUROPEOS 2021-2027 DESTINADOS A CROACIA</w:t>
      </w:r>
    </w:p>
    <w:p w14:paraId="7C55F428" w14:textId="48E64335" w:rsidR="00083531" w:rsidRPr="00083531" w:rsidRDefault="00083531" w:rsidP="00083531">
      <w:pPr>
        <w:pStyle w:val="Subttuloparatablasygrficos"/>
      </w:pPr>
      <w:r>
        <w:t>(en millones de EUR)</w:t>
      </w:r>
    </w:p>
    <w:tbl>
      <w:tblPr>
        <w:tblStyle w:val="Tabladelista2-nfasis11"/>
        <w:tblW w:w="9677" w:type="dxa"/>
        <w:tblLook w:val="04A0" w:firstRow="1" w:lastRow="0" w:firstColumn="1" w:lastColumn="0" w:noHBand="0" w:noVBand="1"/>
      </w:tblPr>
      <w:tblGrid>
        <w:gridCol w:w="3258"/>
        <w:gridCol w:w="917"/>
        <w:gridCol w:w="917"/>
        <w:gridCol w:w="917"/>
        <w:gridCol w:w="917"/>
        <w:gridCol w:w="917"/>
        <w:gridCol w:w="917"/>
        <w:gridCol w:w="917"/>
      </w:tblGrid>
      <w:tr w:rsidR="00596A3A" w:rsidRPr="001F5107" w14:paraId="3D04D339" w14:textId="77777777" w:rsidTr="008E569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shd w:val="clear" w:color="auto" w:fill="F9D2D0" w:themeFill="accent1" w:themeFillTint="33"/>
            <w:vAlign w:val="center"/>
          </w:tcPr>
          <w:p w14:paraId="2154F105" w14:textId="77777777" w:rsidR="00596A3A" w:rsidRPr="00822546" w:rsidRDefault="00596A3A" w:rsidP="00FC4807">
            <w:pPr>
              <w:spacing w:after="0"/>
              <w:jc w:val="center"/>
              <w:rPr>
                <w:rFonts w:cstheme="majorHAnsi"/>
                <w:sz w:val="18"/>
                <w:szCs w:val="18"/>
              </w:rPr>
            </w:pPr>
          </w:p>
        </w:tc>
        <w:tc>
          <w:tcPr>
            <w:tcW w:w="0" w:type="auto"/>
            <w:shd w:val="clear" w:color="auto" w:fill="F9D2D0" w:themeFill="accent1" w:themeFillTint="33"/>
            <w:vAlign w:val="center"/>
          </w:tcPr>
          <w:p w14:paraId="52AEFEDE" w14:textId="77777777" w:rsidR="00596A3A" w:rsidRPr="00A04252" w:rsidRDefault="00596A3A" w:rsidP="00FC4807">
            <w:pPr>
              <w:spacing w:after="0"/>
              <w:jc w:val="center"/>
              <w:cnfStyle w:val="100000000000" w:firstRow="1" w:lastRow="0" w:firstColumn="0" w:lastColumn="0" w:oddVBand="0" w:evenVBand="0" w:oddHBand="0" w:evenHBand="0" w:firstRowFirstColumn="0" w:firstRowLastColumn="0" w:lastRowFirstColumn="0" w:lastRowLastColumn="0"/>
              <w:rPr>
                <w:rFonts w:cstheme="majorHAnsi"/>
                <w:b w:val="0"/>
                <w:bCs w:val="0"/>
                <w:color w:val="FF0000"/>
                <w:sz w:val="18"/>
                <w:szCs w:val="18"/>
              </w:rPr>
            </w:pPr>
            <w:r w:rsidRPr="00A04252">
              <w:rPr>
                <w:rFonts w:cstheme="majorHAnsi"/>
                <w:color w:val="FF0000"/>
                <w:sz w:val="18"/>
                <w:szCs w:val="18"/>
              </w:rPr>
              <w:t>2021</w:t>
            </w:r>
          </w:p>
        </w:tc>
        <w:tc>
          <w:tcPr>
            <w:tcW w:w="0" w:type="auto"/>
            <w:shd w:val="clear" w:color="auto" w:fill="F9D2D0" w:themeFill="accent1" w:themeFillTint="33"/>
            <w:vAlign w:val="center"/>
          </w:tcPr>
          <w:p w14:paraId="1E747161" w14:textId="77777777" w:rsidR="00596A3A" w:rsidRPr="00A04252" w:rsidRDefault="00596A3A" w:rsidP="00FC4807">
            <w:pPr>
              <w:spacing w:after="0"/>
              <w:jc w:val="center"/>
              <w:cnfStyle w:val="100000000000" w:firstRow="1" w:lastRow="0" w:firstColumn="0" w:lastColumn="0" w:oddVBand="0" w:evenVBand="0" w:oddHBand="0" w:evenHBand="0" w:firstRowFirstColumn="0" w:firstRowLastColumn="0" w:lastRowFirstColumn="0" w:lastRowLastColumn="0"/>
              <w:rPr>
                <w:rFonts w:cstheme="majorHAnsi"/>
                <w:b w:val="0"/>
                <w:bCs w:val="0"/>
                <w:color w:val="FF0000"/>
                <w:sz w:val="18"/>
                <w:szCs w:val="18"/>
              </w:rPr>
            </w:pPr>
            <w:r w:rsidRPr="00A04252">
              <w:rPr>
                <w:rFonts w:cstheme="majorHAnsi"/>
                <w:color w:val="FF0000"/>
                <w:sz w:val="18"/>
                <w:szCs w:val="18"/>
              </w:rPr>
              <w:t>2022</w:t>
            </w:r>
          </w:p>
        </w:tc>
        <w:tc>
          <w:tcPr>
            <w:tcW w:w="0" w:type="auto"/>
            <w:shd w:val="clear" w:color="auto" w:fill="F9D2D0" w:themeFill="accent1" w:themeFillTint="33"/>
            <w:vAlign w:val="center"/>
          </w:tcPr>
          <w:p w14:paraId="742E4AD6" w14:textId="77777777" w:rsidR="00596A3A" w:rsidRPr="00A04252" w:rsidRDefault="00596A3A" w:rsidP="00FC4807">
            <w:pPr>
              <w:spacing w:after="0"/>
              <w:jc w:val="center"/>
              <w:cnfStyle w:val="100000000000" w:firstRow="1" w:lastRow="0" w:firstColumn="0" w:lastColumn="0" w:oddVBand="0" w:evenVBand="0" w:oddHBand="0" w:evenHBand="0" w:firstRowFirstColumn="0" w:firstRowLastColumn="0" w:lastRowFirstColumn="0" w:lastRowLastColumn="0"/>
              <w:rPr>
                <w:rFonts w:cstheme="majorHAnsi"/>
                <w:b w:val="0"/>
                <w:bCs w:val="0"/>
                <w:color w:val="FF0000"/>
                <w:sz w:val="18"/>
                <w:szCs w:val="18"/>
              </w:rPr>
            </w:pPr>
            <w:r w:rsidRPr="00A04252">
              <w:rPr>
                <w:rFonts w:cstheme="majorHAnsi"/>
                <w:color w:val="FF0000"/>
                <w:sz w:val="18"/>
                <w:szCs w:val="18"/>
              </w:rPr>
              <w:t>2023</w:t>
            </w:r>
          </w:p>
        </w:tc>
        <w:tc>
          <w:tcPr>
            <w:tcW w:w="0" w:type="auto"/>
            <w:shd w:val="clear" w:color="auto" w:fill="F9D2D0" w:themeFill="accent1" w:themeFillTint="33"/>
            <w:vAlign w:val="center"/>
          </w:tcPr>
          <w:p w14:paraId="2EF9E137" w14:textId="77777777" w:rsidR="00596A3A" w:rsidRPr="00A04252" w:rsidRDefault="00596A3A" w:rsidP="00FC4807">
            <w:pPr>
              <w:spacing w:after="0"/>
              <w:jc w:val="center"/>
              <w:cnfStyle w:val="100000000000" w:firstRow="1" w:lastRow="0" w:firstColumn="0" w:lastColumn="0" w:oddVBand="0" w:evenVBand="0" w:oddHBand="0" w:evenHBand="0" w:firstRowFirstColumn="0" w:firstRowLastColumn="0" w:lastRowFirstColumn="0" w:lastRowLastColumn="0"/>
              <w:rPr>
                <w:rFonts w:cstheme="majorHAnsi"/>
                <w:b w:val="0"/>
                <w:bCs w:val="0"/>
                <w:color w:val="FF0000"/>
                <w:sz w:val="18"/>
                <w:szCs w:val="18"/>
              </w:rPr>
            </w:pPr>
            <w:r w:rsidRPr="00A04252">
              <w:rPr>
                <w:rFonts w:cstheme="majorHAnsi"/>
                <w:color w:val="FF0000"/>
                <w:sz w:val="18"/>
                <w:szCs w:val="18"/>
              </w:rPr>
              <w:t>2024</w:t>
            </w:r>
          </w:p>
        </w:tc>
        <w:tc>
          <w:tcPr>
            <w:tcW w:w="0" w:type="auto"/>
            <w:shd w:val="clear" w:color="auto" w:fill="F9D2D0" w:themeFill="accent1" w:themeFillTint="33"/>
            <w:vAlign w:val="center"/>
          </w:tcPr>
          <w:p w14:paraId="4341BCFE" w14:textId="77777777" w:rsidR="00596A3A" w:rsidRPr="00A04252" w:rsidRDefault="00596A3A" w:rsidP="00FC4807">
            <w:pPr>
              <w:spacing w:after="0"/>
              <w:jc w:val="center"/>
              <w:cnfStyle w:val="100000000000" w:firstRow="1" w:lastRow="0" w:firstColumn="0" w:lastColumn="0" w:oddVBand="0" w:evenVBand="0" w:oddHBand="0" w:evenHBand="0" w:firstRowFirstColumn="0" w:firstRowLastColumn="0" w:lastRowFirstColumn="0" w:lastRowLastColumn="0"/>
              <w:rPr>
                <w:rFonts w:cstheme="majorHAnsi"/>
                <w:b w:val="0"/>
                <w:bCs w:val="0"/>
                <w:color w:val="FF0000"/>
                <w:sz w:val="18"/>
                <w:szCs w:val="18"/>
              </w:rPr>
            </w:pPr>
            <w:r w:rsidRPr="00A04252">
              <w:rPr>
                <w:rFonts w:cstheme="majorHAnsi"/>
                <w:color w:val="FF0000"/>
                <w:sz w:val="18"/>
                <w:szCs w:val="18"/>
              </w:rPr>
              <w:t>2025</w:t>
            </w:r>
          </w:p>
        </w:tc>
        <w:tc>
          <w:tcPr>
            <w:tcW w:w="0" w:type="auto"/>
            <w:shd w:val="clear" w:color="auto" w:fill="F9D2D0" w:themeFill="accent1" w:themeFillTint="33"/>
            <w:vAlign w:val="center"/>
          </w:tcPr>
          <w:p w14:paraId="4BFC3716" w14:textId="77777777" w:rsidR="00596A3A" w:rsidRPr="00A04252" w:rsidRDefault="00596A3A" w:rsidP="00FC4807">
            <w:pPr>
              <w:spacing w:after="0"/>
              <w:jc w:val="center"/>
              <w:cnfStyle w:val="100000000000" w:firstRow="1" w:lastRow="0" w:firstColumn="0" w:lastColumn="0" w:oddVBand="0" w:evenVBand="0" w:oddHBand="0" w:evenHBand="0" w:firstRowFirstColumn="0" w:firstRowLastColumn="0" w:lastRowFirstColumn="0" w:lastRowLastColumn="0"/>
              <w:rPr>
                <w:rFonts w:cstheme="majorHAnsi"/>
                <w:b w:val="0"/>
                <w:bCs w:val="0"/>
                <w:color w:val="FF0000"/>
                <w:sz w:val="18"/>
                <w:szCs w:val="18"/>
              </w:rPr>
            </w:pPr>
            <w:r w:rsidRPr="00A04252">
              <w:rPr>
                <w:rFonts w:cstheme="majorHAnsi"/>
                <w:color w:val="FF0000"/>
                <w:sz w:val="18"/>
                <w:szCs w:val="18"/>
              </w:rPr>
              <w:t>2026</w:t>
            </w:r>
          </w:p>
        </w:tc>
        <w:tc>
          <w:tcPr>
            <w:tcW w:w="0" w:type="auto"/>
            <w:shd w:val="clear" w:color="auto" w:fill="F9D2D0" w:themeFill="accent1" w:themeFillTint="33"/>
            <w:vAlign w:val="center"/>
          </w:tcPr>
          <w:p w14:paraId="25DA2687" w14:textId="77777777" w:rsidR="00596A3A" w:rsidRPr="00A04252" w:rsidRDefault="00596A3A" w:rsidP="00FC4807">
            <w:pPr>
              <w:spacing w:after="0"/>
              <w:jc w:val="center"/>
              <w:cnfStyle w:val="100000000000" w:firstRow="1" w:lastRow="0" w:firstColumn="0" w:lastColumn="0" w:oddVBand="0" w:evenVBand="0" w:oddHBand="0" w:evenHBand="0" w:firstRowFirstColumn="0" w:firstRowLastColumn="0" w:lastRowFirstColumn="0" w:lastRowLastColumn="0"/>
              <w:rPr>
                <w:rFonts w:cstheme="majorHAnsi"/>
                <w:b w:val="0"/>
                <w:bCs w:val="0"/>
                <w:color w:val="FF0000"/>
                <w:sz w:val="18"/>
                <w:szCs w:val="18"/>
              </w:rPr>
            </w:pPr>
            <w:r w:rsidRPr="00A04252">
              <w:rPr>
                <w:rFonts w:cstheme="majorHAnsi"/>
                <w:color w:val="FF0000"/>
                <w:sz w:val="18"/>
                <w:szCs w:val="18"/>
              </w:rPr>
              <w:t>2027</w:t>
            </w:r>
          </w:p>
        </w:tc>
      </w:tr>
      <w:tr w:rsidR="001D483E" w:rsidRPr="001F5107" w14:paraId="36240DFD" w14:textId="77777777" w:rsidTr="008E569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D2804CD" w14:textId="77777777" w:rsidR="00596A3A" w:rsidRPr="00822546" w:rsidRDefault="00596A3A" w:rsidP="00FC4807">
            <w:pPr>
              <w:spacing w:after="0"/>
              <w:jc w:val="left"/>
              <w:rPr>
                <w:rFonts w:cstheme="majorHAnsi"/>
                <w:sz w:val="18"/>
                <w:szCs w:val="18"/>
              </w:rPr>
            </w:pPr>
            <w:r w:rsidRPr="00822546">
              <w:rPr>
                <w:rFonts w:cstheme="majorHAnsi"/>
                <w:sz w:val="18"/>
                <w:szCs w:val="18"/>
              </w:rPr>
              <w:t>F</w:t>
            </w:r>
            <w:r>
              <w:rPr>
                <w:rFonts w:cstheme="majorHAnsi"/>
                <w:sz w:val="18"/>
                <w:szCs w:val="18"/>
              </w:rPr>
              <w:t>ondo</w:t>
            </w:r>
            <w:r w:rsidRPr="00822546">
              <w:rPr>
                <w:rFonts w:cstheme="majorHAnsi"/>
                <w:sz w:val="18"/>
                <w:szCs w:val="18"/>
              </w:rPr>
              <w:t xml:space="preserve"> Europeo de Desarrollo Regional (FEDER)</w:t>
            </w:r>
          </w:p>
        </w:tc>
        <w:tc>
          <w:tcPr>
            <w:tcW w:w="0" w:type="auto"/>
            <w:shd w:val="clear" w:color="auto" w:fill="auto"/>
            <w:vAlign w:val="center"/>
          </w:tcPr>
          <w:p w14:paraId="034D172D"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sz w:val="18"/>
                <w:szCs w:val="18"/>
              </w:rPr>
            </w:pPr>
            <w:r w:rsidRPr="00822546">
              <w:rPr>
                <w:rFonts w:cstheme="majorHAnsi"/>
                <w:sz w:val="18"/>
                <w:szCs w:val="18"/>
              </w:rPr>
              <w:t>705,97</w:t>
            </w:r>
          </w:p>
        </w:tc>
        <w:tc>
          <w:tcPr>
            <w:tcW w:w="0" w:type="auto"/>
            <w:shd w:val="clear" w:color="auto" w:fill="auto"/>
            <w:vAlign w:val="center"/>
          </w:tcPr>
          <w:p w14:paraId="3F7EBFA3"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sz w:val="18"/>
                <w:szCs w:val="18"/>
              </w:rPr>
            </w:pPr>
            <w:r w:rsidRPr="00822546">
              <w:rPr>
                <w:rFonts w:cstheme="majorHAnsi"/>
                <w:sz w:val="18"/>
                <w:szCs w:val="18"/>
              </w:rPr>
              <w:t>723,73</w:t>
            </w:r>
          </w:p>
        </w:tc>
        <w:tc>
          <w:tcPr>
            <w:tcW w:w="0" w:type="auto"/>
            <w:shd w:val="clear" w:color="auto" w:fill="auto"/>
            <w:vAlign w:val="center"/>
          </w:tcPr>
          <w:p w14:paraId="7C8AA316"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sz w:val="18"/>
                <w:szCs w:val="18"/>
              </w:rPr>
            </w:pPr>
            <w:r w:rsidRPr="00822546">
              <w:rPr>
                <w:rFonts w:cstheme="majorHAnsi"/>
                <w:sz w:val="18"/>
                <w:szCs w:val="18"/>
              </w:rPr>
              <w:t>740,58</w:t>
            </w:r>
          </w:p>
        </w:tc>
        <w:tc>
          <w:tcPr>
            <w:tcW w:w="0" w:type="auto"/>
            <w:shd w:val="clear" w:color="auto" w:fill="auto"/>
            <w:vAlign w:val="center"/>
          </w:tcPr>
          <w:p w14:paraId="6D9F6FC9"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sz w:val="18"/>
                <w:szCs w:val="18"/>
              </w:rPr>
            </w:pPr>
            <w:r w:rsidRPr="00822546">
              <w:rPr>
                <w:rFonts w:cstheme="majorHAnsi"/>
                <w:sz w:val="18"/>
                <w:szCs w:val="18"/>
              </w:rPr>
              <w:t>762,73</w:t>
            </w:r>
          </w:p>
        </w:tc>
        <w:tc>
          <w:tcPr>
            <w:tcW w:w="0" w:type="auto"/>
            <w:shd w:val="clear" w:color="auto" w:fill="auto"/>
            <w:vAlign w:val="center"/>
          </w:tcPr>
          <w:p w14:paraId="18906856"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sz w:val="18"/>
                <w:szCs w:val="18"/>
              </w:rPr>
            </w:pPr>
            <w:r w:rsidRPr="00822546">
              <w:rPr>
                <w:rFonts w:cstheme="majorHAnsi"/>
                <w:sz w:val="18"/>
                <w:szCs w:val="18"/>
              </w:rPr>
              <w:t>784,87</w:t>
            </w:r>
          </w:p>
        </w:tc>
        <w:tc>
          <w:tcPr>
            <w:tcW w:w="0" w:type="auto"/>
            <w:shd w:val="clear" w:color="auto" w:fill="auto"/>
            <w:vAlign w:val="center"/>
          </w:tcPr>
          <w:p w14:paraId="76FF5786"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sz w:val="18"/>
                <w:szCs w:val="18"/>
              </w:rPr>
            </w:pPr>
            <w:r w:rsidRPr="00822546">
              <w:rPr>
                <w:rFonts w:cstheme="majorHAnsi"/>
                <w:sz w:val="18"/>
                <w:szCs w:val="18"/>
              </w:rPr>
              <w:t>807,36</w:t>
            </w:r>
          </w:p>
        </w:tc>
        <w:tc>
          <w:tcPr>
            <w:tcW w:w="0" w:type="auto"/>
            <w:shd w:val="clear" w:color="auto" w:fill="auto"/>
            <w:vAlign w:val="center"/>
          </w:tcPr>
          <w:p w14:paraId="3CCD96EE"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sz w:val="18"/>
                <w:szCs w:val="18"/>
              </w:rPr>
            </w:pPr>
            <w:r w:rsidRPr="00822546">
              <w:rPr>
                <w:rFonts w:cstheme="majorHAnsi"/>
                <w:sz w:val="18"/>
                <w:szCs w:val="18"/>
              </w:rPr>
              <w:t>830,47</w:t>
            </w:r>
          </w:p>
        </w:tc>
      </w:tr>
      <w:tr w:rsidR="00596A3A" w:rsidRPr="001F5107" w14:paraId="0F81C2E0" w14:textId="77777777" w:rsidTr="008E5692">
        <w:trPr>
          <w:trHeight w:val="227"/>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0398179" w14:textId="77777777" w:rsidR="00596A3A" w:rsidRPr="00822546" w:rsidRDefault="00596A3A" w:rsidP="00FC4807">
            <w:pPr>
              <w:spacing w:after="0"/>
              <w:jc w:val="left"/>
              <w:rPr>
                <w:rFonts w:cstheme="majorHAnsi"/>
                <w:sz w:val="18"/>
                <w:szCs w:val="18"/>
              </w:rPr>
            </w:pPr>
            <w:r w:rsidRPr="00822546">
              <w:rPr>
                <w:rFonts w:cstheme="majorHAnsi"/>
                <w:sz w:val="18"/>
                <w:szCs w:val="18"/>
              </w:rPr>
              <w:t>Fondo Social (FSE+)</w:t>
            </w:r>
          </w:p>
        </w:tc>
        <w:tc>
          <w:tcPr>
            <w:tcW w:w="0" w:type="auto"/>
            <w:shd w:val="clear" w:color="auto" w:fill="auto"/>
            <w:vAlign w:val="center"/>
          </w:tcPr>
          <w:p w14:paraId="5928BB46" w14:textId="77777777" w:rsidR="00596A3A" w:rsidRPr="00822546" w:rsidRDefault="00596A3A" w:rsidP="00FC4807">
            <w:pPr>
              <w:spacing w:after="0"/>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822546">
              <w:rPr>
                <w:rFonts w:cstheme="majorHAnsi"/>
                <w:sz w:val="18"/>
                <w:szCs w:val="18"/>
              </w:rPr>
              <w:t>261,33</w:t>
            </w:r>
          </w:p>
        </w:tc>
        <w:tc>
          <w:tcPr>
            <w:tcW w:w="0" w:type="auto"/>
            <w:shd w:val="clear" w:color="auto" w:fill="auto"/>
            <w:vAlign w:val="center"/>
          </w:tcPr>
          <w:p w14:paraId="0AA54EBD" w14:textId="77777777" w:rsidR="00596A3A" w:rsidRPr="00822546" w:rsidRDefault="00596A3A" w:rsidP="00FC4807">
            <w:pPr>
              <w:spacing w:after="0"/>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822546">
              <w:rPr>
                <w:rFonts w:cstheme="majorHAnsi"/>
                <w:sz w:val="18"/>
                <w:szCs w:val="18"/>
              </w:rPr>
              <w:t>267,90</w:t>
            </w:r>
          </w:p>
        </w:tc>
        <w:tc>
          <w:tcPr>
            <w:tcW w:w="0" w:type="auto"/>
            <w:shd w:val="clear" w:color="auto" w:fill="auto"/>
            <w:vAlign w:val="center"/>
          </w:tcPr>
          <w:p w14:paraId="02CA6821" w14:textId="77777777" w:rsidR="00596A3A" w:rsidRPr="00822546" w:rsidRDefault="00596A3A" w:rsidP="00FC4807">
            <w:pPr>
              <w:spacing w:after="0"/>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822546">
              <w:rPr>
                <w:rFonts w:cstheme="majorHAnsi"/>
                <w:sz w:val="18"/>
                <w:szCs w:val="18"/>
              </w:rPr>
              <w:t>274,14</w:t>
            </w:r>
          </w:p>
        </w:tc>
        <w:tc>
          <w:tcPr>
            <w:tcW w:w="0" w:type="auto"/>
            <w:shd w:val="clear" w:color="auto" w:fill="auto"/>
            <w:vAlign w:val="center"/>
          </w:tcPr>
          <w:p w14:paraId="2A0967B2" w14:textId="77777777" w:rsidR="00596A3A" w:rsidRPr="00822546" w:rsidRDefault="00596A3A" w:rsidP="00FC4807">
            <w:pPr>
              <w:spacing w:after="0"/>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822546">
              <w:rPr>
                <w:rFonts w:cstheme="majorHAnsi"/>
                <w:sz w:val="18"/>
                <w:szCs w:val="18"/>
              </w:rPr>
              <w:t>282,33</w:t>
            </w:r>
          </w:p>
        </w:tc>
        <w:tc>
          <w:tcPr>
            <w:tcW w:w="0" w:type="auto"/>
            <w:shd w:val="clear" w:color="auto" w:fill="auto"/>
            <w:vAlign w:val="center"/>
          </w:tcPr>
          <w:p w14:paraId="45DBE9DD" w14:textId="77777777" w:rsidR="00596A3A" w:rsidRPr="00822546" w:rsidRDefault="00596A3A" w:rsidP="00FC4807">
            <w:pPr>
              <w:spacing w:after="0"/>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822546">
              <w:rPr>
                <w:rFonts w:cstheme="majorHAnsi"/>
                <w:sz w:val="18"/>
                <w:szCs w:val="18"/>
              </w:rPr>
              <w:t>290,53</w:t>
            </w:r>
          </w:p>
        </w:tc>
        <w:tc>
          <w:tcPr>
            <w:tcW w:w="0" w:type="auto"/>
            <w:shd w:val="clear" w:color="auto" w:fill="auto"/>
            <w:vAlign w:val="center"/>
          </w:tcPr>
          <w:p w14:paraId="20A797BB" w14:textId="77777777" w:rsidR="00596A3A" w:rsidRPr="00822546" w:rsidRDefault="00596A3A" w:rsidP="00FC4807">
            <w:pPr>
              <w:spacing w:after="0"/>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822546">
              <w:rPr>
                <w:rFonts w:cstheme="majorHAnsi"/>
                <w:sz w:val="18"/>
                <w:szCs w:val="18"/>
              </w:rPr>
              <w:t>298,87</w:t>
            </w:r>
          </w:p>
        </w:tc>
        <w:tc>
          <w:tcPr>
            <w:tcW w:w="0" w:type="auto"/>
            <w:shd w:val="clear" w:color="auto" w:fill="auto"/>
            <w:vAlign w:val="center"/>
          </w:tcPr>
          <w:p w14:paraId="5874AF9B" w14:textId="77777777" w:rsidR="00596A3A" w:rsidRPr="00822546" w:rsidRDefault="00596A3A" w:rsidP="00FC4807">
            <w:pPr>
              <w:spacing w:after="0"/>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822546">
              <w:rPr>
                <w:rFonts w:cstheme="majorHAnsi"/>
                <w:sz w:val="18"/>
                <w:szCs w:val="18"/>
              </w:rPr>
              <w:t>307,46</w:t>
            </w:r>
          </w:p>
        </w:tc>
      </w:tr>
      <w:tr w:rsidR="001D483E" w:rsidRPr="001F5107" w14:paraId="4CBBDD49" w14:textId="77777777" w:rsidTr="008E569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01DBEA1" w14:textId="77777777" w:rsidR="00596A3A" w:rsidRPr="00822546" w:rsidRDefault="00596A3A" w:rsidP="00FC4807">
            <w:pPr>
              <w:spacing w:after="0"/>
              <w:jc w:val="left"/>
              <w:rPr>
                <w:rFonts w:cstheme="majorHAnsi"/>
                <w:sz w:val="18"/>
                <w:szCs w:val="18"/>
              </w:rPr>
            </w:pPr>
            <w:r w:rsidRPr="00822546">
              <w:rPr>
                <w:rFonts w:cstheme="majorHAnsi"/>
                <w:sz w:val="18"/>
                <w:szCs w:val="18"/>
              </w:rPr>
              <w:t xml:space="preserve">Fondo de </w:t>
            </w:r>
            <w:r>
              <w:rPr>
                <w:rFonts w:cstheme="majorHAnsi"/>
                <w:sz w:val="18"/>
                <w:szCs w:val="18"/>
              </w:rPr>
              <w:t>C</w:t>
            </w:r>
            <w:r w:rsidRPr="00822546">
              <w:rPr>
                <w:rFonts w:cstheme="majorHAnsi"/>
                <w:sz w:val="18"/>
                <w:szCs w:val="18"/>
              </w:rPr>
              <w:t>ohesión (FC)</w:t>
            </w:r>
          </w:p>
        </w:tc>
        <w:tc>
          <w:tcPr>
            <w:tcW w:w="0" w:type="auto"/>
            <w:shd w:val="clear" w:color="auto" w:fill="auto"/>
            <w:vAlign w:val="center"/>
          </w:tcPr>
          <w:p w14:paraId="1026E342"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sz w:val="18"/>
                <w:szCs w:val="18"/>
              </w:rPr>
            </w:pPr>
            <w:r w:rsidRPr="00822546">
              <w:rPr>
                <w:rFonts w:cstheme="majorHAnsi"/>
                <w:sz w:val="18"/>
                <w:szCs w:val="18"/>
              </w:rPr>
              <w:t>203,28</w:t>
            </w:r>
          </w:p>
        </w:tc>
        <w:tc>
          <w:tcPr>
            <w:tcW w:w="0" w:type="auto"/>
            <w:shd w:val="clear" w:color="auto" w:fill="auto"/>
            <w:vAlign w:val="center"/>
          </w:tcPr>
          <w:p w14:paraId="3EE91A5E"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sz w:val="18"/>
                <w:szCs w:val="18"/>
              </w:rPr>
            </w:pPr>
            <w:r w:rsidRPr="00822546">
              <w:rPr>
                <w:rFonts w:cstheme="majorHAnsi"/>
                <w:sz w:val="18"/>
                <w:szCs w:val="18"/>
              </w:rPr>
              <w:t>208,83</w:t>
            </w:r>
          </w:p>
        </w:tc>
        <w:tc>
          <w:tcPr>
            <w:tcW w:w="0" w:type="auto"/>
            <w:shd w:val="clear" w:color="auto" w:fill="auto"/>
            <w:vAlign w:val="center"/>
          </w:tcPr>
          <w:p w14:paraId="0FA5639F"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sz w:val="18"/>
                <w:szCs w:val="18"/>
              </w:rPr>
            </w:pPr>
            <w:r w:rsidRPr="00822546">
              <w:rPr>
                <w:rFonts w:cstheme="majorHAnsi"/>
                <w:sz w:val="18"/>
                <w:szCs w:val="18"/>
              </w:rPr>
              <w:t>213,74</w:t>
            </w:r>
          </w:p>
        </w:tc>
        <w:tc>
          <w:tcPr>
            <w:tcW w:w="0" w:type="auto"/>
            <w:shd w:val="clear" w:color="auto" w:fill="auto"/>
            <w:vAlign w:val="center"/>
          </w:tcPr>
          <w:p w14:paraId="56EB7DC9"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sz w:val="18"/>
                <w:szCs w:val="18"/>
              </w:rPr>
            </w:pPr>
            <w:r w:rsidRPr="00822546">
              <w:rPr>
                <w:rFonts w:cstheme="majorHAnsi"/>
                <w:sz w:val="18"/>
                <w:szCs w:val="18"/>
              </w:rPr>
              <w:t>220,25</w:t>
            </w:r>
          </w:p>
        </w:tc>
        <w:tc>
          <w:tcPr>
            <w:tcW w:w="0" w:type="auto"/>
            <w:shd w:val="clear" w:color="auto" w:fill="auto"/>
            <w:vAlign w:val="center"/>
          </w:tcPr>
          <w:p w14:paraId="23457C9C"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sz w:val="18"/>
                <w:szCs w:val="18"/>
              </w:rPr>
            </w:pPr>
            <w:r w:rsidRPr="00822546">
              <w:rPr>
                <w:rFonts w:cstheme="majorHAnsi"/>
                <w:sz w:val="18"/>
                <w:szCs w:val="18"/>
              </w:rPr>
              <w:t>226,77</w:t>
            </w:r>
          </w:p>
        </w:tc>
        <w:tc>
          <w:tcPr>
            <w:tcW w:w="0" w:type="auto"/>
            <w:shd w:val="clear" w:color="auto" w:fill="auto"/>
            <w:vAlign w:val="center"/>
          </w:tcPr>
          <w:p w14:paraId="3BCA386D"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sz w:val="18"/>
                <w:szCs w:val="18"/>
              </w:rPr>
            </w:pPr>
            <w:r w:rsidRPr="00822546">
              <w:rPr>
                <w:rFonts w:cstheme="majorHAnsi"/>
                <w:sz w:val="18"/>
                <w:szCs w:val="18"/>
              </w:rPr>
              <w:t>233,40</w:t>
            </w:r>
          </w:p>
        </w:tc>
        <w:tc>
          <w:tcPr>
            <w:tcW w:w="0" w:type="auto"/>
            <w:shd w:val="clear" w:color="auto" w:fill="auto"/>
            <w:vAlign w:val="center"/>
          </w:tcPr>
          <w:p w14:paraId="57E37993"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sz w:val="18"/>
                <w:szCs w:val="18"/>
              </w:rPr>
            </w:pPr>
            <w:r w:rsidRPr="00822546">
              <w:rPr>
                <w:rFonts w:cstheme="majorHAnsi"/>
                <w:sz w:val="18"/>
                <w:szCs w:val="18"/>
              </w:rPr>
              <w:t>240,23</w:t>
            </w:r>
          </w:p>
        </w:tc>
      </w:tr>
      <w:tr w:rsidR="00596A3A" w:rsidRPr="001F5107" w14:paraId="08E9D5A4" w14:textId="77777777" w:rsidTr="008E5692">
        <w:trPr>
          <w:trHeight w:val="227"/>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E250E0A" w14:textId="0F2E5214" w:rsidR="00596A3A" w:rsidRPr="00822546" w:rsidRDefault="00596A3A" w:rsidP="00FC4807">
            <w:pPr>
              <w:spacing w:after="0"/>
              <w:jc w:val="left"/>
              <w:rPr>
                <w:rFonts w:cstheme="majorHAnsi"/>
                <w:sz w:val="18"/>
                <w:szCs w:val="18"/>
              </w:rPr>
            </w:pPr>
            <w:r w:rsidRPr="00822546">
              <w:rPr>
                <w:rFonts w:cstheme="majorHAnsi"/>
                <w:sz w:val="18"/>
                <w:szCs w:val="18"/>
              </w:rPr>
              <w:t>F</w:t>
            </w:r>
            <w:r>
              <w:rPr>
                <w:rFonts w:cstheme="majorHAnsi"/>
                <w:sz w:val="18"/>
                <w:szCs w:val="18"/>
              </w:rPr>
              <w:t>ondo A</w:t>
            </w:r>
            <w:r w:rsidRPr="00822546">
              <w:rPr>
                <w:rFonts w:cstheme="majorHAnsi"/>
                <w:sz w:val="18"/>
                <w:szCs w:val="18"/>
              </w:rPr>
              <w:t xml:space="preserve">grícola de </w:t>
            </w:r>
            <w:r>
              <w:rPr>
                <w:rFonts w:cstheme="majorHAnsi"/>
                <w:sz w:val="18"/>
                <w:szCs w:val="18"/>
              </w:rPr>
              <w:t>D</w:t>
            </w:r>
            <w:r w:rsidRPr="00822546">
              <w:rPr>
                <w:rFonts w:cstheme="majorHAnsi"/>
                <w:sz w:val="18"/>
                <w:szCs w:val="18"/>
              </w:rPr>
              <w:t xml:space="preserve">esarrollo </w:t>
            </w:r>
            <w:r>
              <w:rPr>
                <w:rFonts w:cstheme="majorHAnsi"/>
                <w:sz w:val="18"/>
                <w:szCs w:val="18"/>
              </w:rPr>
              <w:t>R</w:t>
            </w:r>
            <w:r w:rsidR="003C274E">
              <w:rPr>
                <w:rFonts w:cstheme="majorHAnsi"/>
                <w:sz w:val="18"/>
                <w:szCs w:val="18"/>
              </w:rPr>
              <w:t>ural</w:t>
            </w:r>
            <w:r w:rsidRPr="00822546">
              <w:rPr>
                <w:rFonts w:cstheme="majorHAnsi"/>
                <w:sz w:val="18"/>
                <w:szCs w:val="18"/>
              </w:rPr>
              <w:t xml:space="preserve"> (FEADER)</w:t>
            </w:r>
          </w:p>
        </w:tc>
        <w:tc>
          <w:tcPr>
            <w:tcW w:w="0" w:type="auto"/>
            <w:shd w:val="clear" w:color="auto" w:fill="auto"/>
            <w:vAlign w:val="center"/>
          </w:tcPr>
          <w:p w14:paraId="4E986B46" w14:textId="77777777" w:rsidR="00596A3A" w:rsidRPr="00822546" w:rsidRDefault="00596A3A" w:rsidP="00FC4807">
            <w:pPr>
              <w:spacing w:after="0"/>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822546">
              <w:rPr>
                <w:rFonts w:cstheme="majorHAnsi"/>
                <w:sz w:val="18"/>
                <w:szCs w:val="18"/>
              </w:rPr>
              <w:t>363,1</w:t>
            </w:r>
          </w:p>
        </w:tc>
        <w:tc>
          <w:tcPr>
            <w:tcW w:w="0" w:type="auto"/>
            <w:shd w:val="clear" w:color="auto" w:fill="auto"/>
            <w:vAlign w:val="center"/>
          </w:tcPr>
          <w:p w14:paraId="48584DDF" w14:textId="77777777" w:rsidR="00596A3A" w:rsidRPr="00822546" w:rsidRDefault="00596A3A" w:rsidP="00FC4807">
            <w:pPr>
              <w:spacing w:after="0"/>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822546">
              <w:rPr>
                <w:rFonts w:cstheme="majorHAnsi"/>
                <w:sz w:val="18"/>
                <w:szCs w:val="18"/>
              </w:rPr>
              <w:t>297,30</w:t>
            </w:r>
          </w:p>
        </w:tc>
        <w:tc>
          <w:tcPr>
            <w:tcW w:w="0" w:type="auto"/>
            <w:shd w:val="clear" w:color="auto" w:fill="auto"/>
            <w:vAlign w:val="center"/>
          </w:tcPr>
          <w:p w14:paraId="7EB03DFF" w14:textId="77777777" w:rsidR="00596A3A" w:rsidRPr="00822546" w:rsidRDefault="00596A3A" w:rsidP="00FC4807">
            <w:pPr>
              <w:spacing w:after="0"/>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822546">
              <w:rPr>
                <w:rFonts w:cstheme="majorHAnsi"/>
                <w:sz w:val="18"/>
                <w:szCs w:val="18"/>
              </w:rPr>
              <w:t>297,30</w:t>
            </w:r>
          </w:p>
        </w:tc>
        <w:tc>
          <w:tcPr>
            <w:tcW w:w="0" w:type="auto"/>
            <w:shd w:val="clear" w:color="auto" w:fill="auto"/>
            <w:vAlign w:val="center"/>
          </w:tcPr>
          <w:p w14:paraId="4A47659C" w14:textId="77777777" w:rsidR="00596A3A" w:rsidRPr="00822546" w:rsidRDefault="00596A3A" w:rsidP="00FC4807">
            <w:pPr>
              <w:spacing w:after="0"/>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822546">
              <w:rPr>
                <w:rFonts w:cstheme="majorHAnsi"/>
                <w:sz w:val="18"/>
                <w:szCs w:val="18"/>
              </w:rPr>
              <w:t>297,30</w:t>
            </w:r>
          </w:p>
        </w:tc>
        <w:tc>
          <w:tcPr>
            <w:tcW w:w="0" w:type="auto"/>
            <w:shd w:val="clear" w:color="auto" w:fill="auto"/>
            <w:vAlign w:val="center"/>
          </w:tcPr>
          <w:p w14:paraId="3011E2D2" w14:textId="77777777" w:rsidR="00596A3A" w:rsidRPr="00822546" w:rsidRDefault="00596A3A" w:rsidP="00FC4807">
            <w:pPr>
              <w:spacing w:after="0"/>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822546">
              <w:rPr>
                <w:rFonts w:cstheme="majorHAnsi"/>
                <w:sz w:val="18"/>
                <w:szCs w:val="18"/>
              </w:rPr>
              <w:t>297,30</w:t>
            </w:r>
          </w:p>
        </w:tc>
        <w:tc>
          <w:tcPr>
            <w:tcW w:w="0" w:type="auto"/>
            <w:shd w:val="clear" w:color="auto" w:fill="auto"/>
            <w:vAlign w:val="center"/>
          </w:tcPr>
          <w:p w14:paraId="39376144" w14:textId="77777777" w:rsidR="00596A3A" w:rsidRPr="00822546" w:rsidRDefault="00596A3A" w:rsidP="00FC4807">
            <w:pPr>
              <w:spacing w:after="0"/>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822546">
              <w:rPr>
                <w:rFonts w:cstheme="majorHAnsi"/>
                <w:sz w:val="18"/>
                <w:szCs w:val="18"/>
              </w:rPr>
              <w:t>297,30</w:t>
            </w:r>
          </w:p>
        </w:tc>
        <w:tc>
          <w:tcPr>
            <w:tcW w:w="0" w:type="auto"/>
            <w:shd w:val="clear" w:color="auto" w:fill="auto"/>
            <w:vAlign w:val="center"/>
          </w:tcPr>
          <w:p w14:paraId="1C9B326A" w14:textId="77777777" w:rsidR="00596A3A" w:rsidRPr="00822546" w:rsidRDefault="00596A3A" w:rsidP="00FC4807">
            <w:pPr>
              <w:spacing w:after="0"/>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822546">
              <w:rPr>
                <w:rFonts w:cstheme="majorHAnsi"/>
                <w:sz w:val="18"/>
                <w:szCs w:val="18"/>
              </w:rPr>
              <w:t>297,30</w:t>
            </w:r>
          </w:p>
        </w:tc>
      </w:tr>
      <w:tr w:rsidR="001D483E" w:rsidRPr="001F5107" w14:paraId="02C43BC6" w14:textId="77777777" w:rsidTr="008E569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B5B2D9" w14:textId="67DF8B29" w:rsidR="00596A3A" w:rsidRPr="00822546" w:rsidRDefault="00596A3A" w:rsidP="00FC4807">
            <w:pPr>
              <w:spacing w:after="0"/>
              <w:jc w:val="left"/>
              <w:rPr>
                <w:rFonts w:cstheme="majorHAnsi"/>
                <w:b w:val="0"/>
                <w:bCs w:val="0"/>
                <w:sz w:val="18"/>
                <w:szCs w:val="18"/>
              </w:rPr>
            </w:pPr>
            <w:r w:rsidRPr="00822546">
              <w:rPr>
                <w:rFonts w:cstheme="majorHAnsi"/>
                <w:sz w:val="18"/>
                <w:szCs w:val="18"/>
              </w:rPr>
              <w:t>TOTAL</w:t>
            </w:r>
          </w:p>
        </w:tc>
        <w:tc>
          <w:tcPr>
            <w:tcW w:w="0" w:type="auto"/>
            <w:vAlign w:val="center"/>
          </w:tcPr>
          <w:p w14:paraId="0E9AE023"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b/>
                <w:bCs/>
                <w:sz w:val="18"/>
                <w:szCs w:val="18"/>
              </w:rPr>
            </w:pPr>
            <w:r w:rsidRPr="00822546">
              <w:rPr>
                <w:rFonts w:cstheme="majorHAnsi"/>
                <w:b/>
                <w:bCs/>
                <w:sz w:val="18"/>
                <w:szCs w:val="18"/>
              </w:rPr>
              <w:t>1.533,68</w:t>
            </w:r>
          </w:p>
        </w:tc>
        <w:tc>
          <w:tcPr>
            <w:tcW w:w="0" w:type="auto"/>
            <w:vAlign w:val="center"/>
          </w:tcPr>
          <w:p w14:paraId="6695661F"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b/>
                <w:bCs/>
                <w:sz w:val="18"/>
                <w:szCs w:val="18"/>
              </w:rPr>
            </w:pPr>
            <w:r w:rsidRPr="00822546">
              <w:rPr>
                <w:rFonts w:cstheme="majorHAnsi"/>
                <w:b/>
                <w:bCs/>
                <w:sz w:val="18"/>
                <w:szCs w:val="18"/>
              </w:rPr>
              <w:t>1.497,76</w:t>
            </w:r>
          </w:p>
        </w:tc>
        <w:tc>
          <w:tcPr>
            <w:tcW w:w="0" w:type="auto"/>
            <w:vAlign w:val="center"/>
          </w:tcPr>
          <w:p w14:paraId="0C7B9113"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b/>
                <w:bCs/>
                <w:sz w:val="18"/>
                <w:szCs w:val="18"/>
              </w:rPr>
            </w:pPr>
            <w:r w:rsidRPr="00822546">
              <w:rPr>
                <w:rFonts w:cstheme="majorHAnsi"/>
                <w:b/>
                <w:bCs/>
                <w:sz w:val="18"/>
                <w:szCs w:val="18"/>
              </w:rPr>
              <w:t>1.525,76</w:t>
            </w:r>
          </w:p>
        </w:tc>
        <w:tc>
          <w:tcPr>
            <w:tcW w:w="0" w:type="auto"/>
            <w:vAlign w:val="center"/>
          </w:tcPr>
          <w:p w14:paraId="7B794942"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b/>
                <w:bCs/>
                <w:sz w:val="18"/>
                <w:szCs w:val="18"/>
              </w:rPr>
            </w:pPr>
            <w:r w:rsidRPr="00822546">
              <w:rPr>
                <w:rFonts w:cstheme="majorHAnsi"/>
                <w:b/>
                <w:bCs/>
                <w:sz w:val="18"/>
                <w:szCs w:val="18"/>
              </w:rPr>
              <w:t>1.562,61</w:t>
            </w:r>
          </w:p>
        </w:tc>
        <w:tc>
          <w:tcPr>
            <w:tcW w:w="0" w:type="auto"/>
            <w:vAlign w:val="center"/>
          </w:tcPr>
          <w:p w14:paraId="76FC747D"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b/>
                <w:bCs/>
                <w:sz w:val="18"/>
                <w:szCs w:val="18"/>
              </w:rPr>
            </w:pPr>
            <w:r w:rsidRPr="00822546">
              <w:rPr>
                <w:rFonts w:cstheme="majorHAnsi"/>
                <w:b/>
                <w:bCs/>
                <w:sz w:val="18"/>
                <w:szCs w:val="18"/>
              </w:rPr>
              <w:t>1.599,47</w:t>
            </w:r>
          </w:p>
        </w:tc>
        <w:tc>
          <w:tcPr>
            <w:tcW w:w="0" w:type="auto"/>
            <w:vAlign w:val="center"/>
          </w:tcPr>
          <w:p w14:paraId="4E0DE801"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b/>
                <w:bCs/>
                <w:sz w:val="18"/>
                <w:szCs w:val="18"/>
              </w:rPr>
            </w:pPr>
            <w:r w:rsidRPr="00822546">
              <w:rPr>
                <w:rFonts w:cstheme="majorHAnsi"/>
                <w:b/>
                <w:bCs/>
                <w:sz w:val="18"/>
                <w:szCs w:val="18"/>
              </w:rPr>
              <w:t>1.636,93</w:t>
            </w:r>
          </w:p>
        </w:tc>
        <w:tc>
          <w:tcPr>
            <w:tcW w:w="0" w:type="auto"/>
            <w:vAlign w:val="center"/>
          </w:tcPr>
          <w:p w14:paraId="068A4D4D" w14:textId="77777777" w:rsidR="00596A3A" w:rsidRPr="00822546" w:rsidRDefault="00596A3A" w:rsidP="00FC4807">
            <w:pPr>
              <w:spacing w:after="0"/>
              <w:jc w:val="center"/>
              <w:cnfStyle w:val="000000100000" w:firstRow="0" w:lastRow="0" w:firstColumn="0" w:lastColumn="0" w:oddVBand="0" w:evenVBand="0" w:oddHBand="1" w:evenHBand="0" w:firstRowFirstColumn="0" w:firstRowLastColumn="0" w:lastRowFirstColumn="0" w:lastRowLastColumn="0"/>
              <w:rPr>
                <w:rFonts w:cstheme="majorHAnsi"/>
                <w:b/>
                <w:bCs/>
                <w:sz w:val="18"/>
                <w:szCs w:val="18"/>
              </w:rPr>
            </w:pPr>
            <w:r w:rsidRPr="00822546">
              <w:rPr>
                <w:rFonts w:cstheme="majorHAnsi"/>
                <w:b/>
                <w:bCs/>
                <w:sz w:val="18"/>
                <w:szCs w:val="18"/>
              </w:rPr>
              <w:t>1.675,46</w:t>
            </w:r>
          </w:p>
        </w:tc>
      </w:tr>
    </w:tbl>
    <w:p w14:paraId="3D35C244" w14:textId="200B5727" w:rsidR="00596A3A" w:rsidRPr="00596A3A" w:rsidRDefault="00596A3A" w:rsidP="001D30E0">
      <w:pPr>
        <w:spacing w:before="120" w:line="0" w:lineRule="atLeast"/>
        <w:ind w:left="284" w:hanging="284"/>
        <w:rPr>
          <w:rFonts w:cstheme="majorHAnsi"/>
          <w:color w:val="auto"/>
          <w:sz w:val="16"/>
          <w:szCs w:val="16"/>
          <w:lang w:val="es-ES"/>
        </w:rPr>
      </w:pPr>
      <w:r w:rsidRPr="000E50C6">
        <w:rPr>
          <w:color w:val="9D9A9D" w:themeColor="accent5"/>
          <w:sz w:val="18"/>
          <w:lang w:val="en-US"/>
        </w:rPr>
        <w:t>Fuente: European</w:t>
      </w:r>
      <w:r w:rsidRPr="00596A3A">
        <w:rPr>
          <w:color w:val="9D9A9D" w:themeColor="accent5"/>
          <w:sz w:val="18"/>
          <w:lang w:val="en-US"/>
        </w:rPr>
        <w:t xml:space="preserve"> Structural and Investment Funds.</w:t>
      </w:r>
      <w:r>
        <w:rPr>
          <w:color w:val="9D9A9D" w:themeColor="accent5"/>
          <w:sz w:val="18"/>
          <w:lang w:val="en-US"/>
        </w:rPr>
        <w:t xml:space="preserve"> </w:t>
      </w:r>
      <w:r w:rsidRPr="00596A3A">
        <w:rPr>
          <w:color w:val="9D9A9D" w:themeColor="accent5"/>
          <w:sz w:val="18"/>
          <w:lang w:val="es-ES"/>
        </w:rPr>
        <w:t>Gobierno de la República de Croacia.</w:t>
      </w:r>
      <w:r>
        <w:rPr>
          <w:rStyle w:val="Refdenotaalpie"/>
        </w:rPr>
        <w:footnoteReference w:id="31"/>
      </w:r>
    </w:p>
    <w:p w14:paraId="614A47C0" w14:textId="17A8197C" w:rsidR="001D483E" w:rsidRPr="001D483E" w:rsidRDefault="003C7874" w:rsidP="003804EA">
      <w:pPr>
        <w:spacing w:before="240"/>
        <w:rPr>
          <w:color w:val="auto"/>
          <w:lang w:val="es-ES" w:eastAsia="es-ES"/>
        </w:rPr>
      </w:pPr>
      <w:bookmarkStart w:id="36" w:name="_Hlk144576662"/>
      <w:r w:rsidRPr="001D483E">
        <w:rPr>
          <w:color w:val="auto"/>
          <w:lang w:val="es-ES" w:eastAsia="es-ES"/>
        </w:rPr>
        <w:t xml:space="preserve">El </w:t>
      </w:r>
      <w:r w:rsidRPr="001D483E">
        <w:rPr>
          <w:b/>
          <w:bCs/>
          <w:color w:val="auto"/>
          <w:lang w:val="es-ES" w:eastAsia="es-ES"/>
        </w:rPr>
        <w:t>Programa de Competitividad y Cohesión 2021-2027</w:t>
      </w:r>
      <w:r w:rsidR="00C711BC" w:rsidRPr="001D483E">
        <w:rPr>
          <w:color w:val="auto"/>
          <w:lang w:val="es-ES" w:eastAsia="es-ES"/>
        </w:rPr>
        <w:t xml:space="preserve"> </w:t>
      </w:r>
      <w:r w:rsidRPr="001D483E">
        <w:rPr>
          <w:color w:val="auto"/>
          <w:lang w:val="es-ES" w:eastAsia="es-ES"/>
        </w:rPr>
        <w:t xml:space="preserve">establece los objetivos y prioridades para un uso eficiente de los </w:t>
      </w:r>
      <w:r w:rsidRPr="001D483E">
        <w:rPr>
          <w:color w:val="auto"/>
          <w:u w:val="single"/>
          <w:lang w:val="es-ES" w:eastAsia="es-ES"/>
        </w:rPr>
        <w:t>fondos FEDER y FC para el período 2021-2027</w:t>
      </w:r>
      <w:r w:rsidRPr="001D483E">
        <w:rPr>
          <w:color w:val="auto"/>
          <w:lang w:val="es-ES" w:eastAsia="es-ES"/>
        </w:rPr>
        <w:t xml:space="preserve">. </w:t>
      </w:r>
      <w:r w:rsidR="001D483E" w:rsidRPr="001D483E">
        <w:rPr>
          <w:color w:val="auto"/>
          <w:lang w:eastAsia="es-ES"/>
        </w:rPr>
        <w:t xml:space="preserve">Su finalidad es </w:t>
      </w:r>
      <w:r w:rsidR="006471C1">
        <w:rPr>
          <w:color w:val="auto"/>
          <w:lang w:eastAsia="es-ES"/>
        </w:rPr>
        <w:t>fortalece</w:t>
      </w:r>
      <w:r w:rsidR="001D483E" w:rsidRPr="001D483E">
        <w:rPr>
          <w:color w:val="auto"/>
          <w:lang w:eastAsia="es-ES"/>
        </w:rPr>
        <w:t>r la economía croata, impulsar la transición hacia una sociedad digital y sostenible, fomentar la digitalización tanto en ciudadanos como en empresas, mejorar la conectividad y la movilidad dentro del país, y elevar la calidad de vida de la población. Este programa se enmarca dentro de la Política de Cohesión de la Unión Europea, y se orienta hacia inversiones que fomenten el empleo y el crecimiento económico.</w:t>
      </w:r>
    </w:p>
    <w:bookmarkEnd w:id="36"/>
    <w:p w14:paraId="16E6D53B" w14:textId="03B04429" w:rsidR="00C711BC" w:rsidRDefault="001D483E" w:rsidP="003804EA">
      <w:pPr>
        <w:spacing w:line="0" w:lineRule="atLeast"/>
        <w:ind w:left="284" w:hanging="284"/>
        <w:rPr>
          <w:color w:val="auto"/>
          <w:lang w:eastAsia="es-ES"/>
        </w:rPr>
      </w:pPr>
      <w:r>
        <w:rPr>
          <w:color w:val="auto"/>
          <w:lang w:eastAsia="es-ES"/>
        </w:rPr>
        <w:t xml:space="preserve">La </w:t>
      </w:r>
      <w:r w:rsidRPr="00A04252">
        <w:rPr>
          <w:color w:val="auto"/>
          <w:lang w:eastAsia="es-ES"/>
        </w:rPr>
        <w:t>d</w:t>
      </w:r>
      <w:r w:rsidR="00C711BC" w:rsidRPr="00A04252">
        <w:rPr>
          <w:color w:val="auto"/>
          <w:lang w:eastAsia="es-ES"/>
        </w:rPr>
        <w:t xml:space="preserve">istribución de los </w:t>
      </w:r>
      <w:r w:rsidRPr="00A04252">
        <w:rPr>
          <w:color w:val="auto"/>
          <w:lang w:eastAsia="es-ES"/>
        </w:rPr>
        <w:t>fondos d</w:t>
      </w:r>
      <w:r w:rsidR="00C711BC" w:rsidRPr="00A04252">
        <w:rPr>
          <w:color w:val="auto"/>
          <w:lang w:eastAsia="es-ES"/>
        </w:rPr>
        <w:t>el Programa de Competitividad y Cohesión 2021-2027</w:t>
      </w:r>
      <w:r>
        <w:rPr>
          <w:color w:val="auto"/>
          <w:lang w:eastAsia="es-ES"/>
        </w:rPr>
        <w:t xml:space="preserve"> es la siguiente:</w:t>
      </w:r>
    </w:p>
    <w:p w14:paraId="1FDC348D" w14:textId="271B81CE" w:rsidR="00D04B0C" w:rsidRPr="00D04B0C" w:rsidRDefault="009F24F2" w:rsidP="00083B6B">
      <w:pPr>
        <w:pStyle w:val="TtuloTablas"/>
        <w:spacing w:after="240" w:line="24" w:lineRule="atLeast"/>
      </w:pPr>
      <w:r>
        <w:t>TABLa 8: PRIORIDADES, OBJETIVOS Y FONDOS DESTINADOS AL PROGRAMA DE COMPETITIVIDAD Y COHESIÓN 2021-2027</w:t>
      </w:r>
    </w:p>
    <w:tbl>
      <w:tblPr>
        <w:tblStyle w:val="Tabladelista2-nfasis11"/>
        <w:tblW w:w="9711" w:type="dxa"/>
        <w:tblLook w:val="04A0" w:firstRow="1" w:lastRow="0" w:firstColumn="1" w:lastColumn="0" w:noHBand="0" w:noVBand="1"/>
      </w:tblPr>
      <w:tblGrid>
        <w:gridCol w:w="6561"/>
        <w:gridCol w:w="1568"/>
        <w:gridCol w:w="1582"/>
      </w:tblGrid>
      <w:tr w:rsidR="003804EA" w:rsidRPr="001F5107" w14:paraId="703575C6" w14:textId="77777777" w:rsidTr="008E569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561" w:type="dxa"/>
            <w:vAlign w:val="center"/>
          </w:tcPr>
          <w:p w14:paraId="308EE911" w14:textId="77777777" w:rsidR="00C711BC" w:rsidRPr="00A04252" w:rsidRDefault="00C711BC" w:rsidP="002113A4">
            <w:pPr>
              <w:pStyle w:val="Prrafodelista"/>
              <w:numPr>
                <w:ilvl w:val="0"/>
                <w:numId w:val="0"/>
              </w:numPr>
              <w:spacing w:before="0" w:beforeAutospacing="0" w:after="0" w:afterAutospacing="0" w:line="276" w:lineRule="auto"/>
              <w:jc w:val="center"/>
              <w:rPr>
                <w:rFonts w:cstheme="majorHAnsi"/>
                <w:b w:val="0"/>
                <w:bCs w:val="0"/>
                <w:color w:val="FF0000"/>
                <w:sz w:val="18"/>
                <w:szCs w:val="18"/>
                <w:lang w:val="es-ES"/>
              </w:rPr>
            </w:pPr>
            <w:r w:rsidRPr="00A04252">
              <w:rPr>
                <w:rFonts w:cstheme="majorHAnsi"/>
                <w:color w:val="FF0000"/>
                <w:sz w:val="18"/>
                <w:szCs w:val="18"/>
                <w:lang w:val="es-ES"/>
              </w:rPr>
              <w:t>Prioridad</w:t>
            </w:r>
          </w:p>
        </w:tc>
        <w:tc>
          <w:tcPr>
            <w:tcW w:w="1568" w:type="dxa"/>
            <w:vAlign w:val="center"/>
          </w:tcPr>
          <w:p w14:paraId="758FEBBB" w14:textId="076E7712" w:rsidR="00C711BC" w:rsidRPr="00A04252" w:rsidRDefault="00C711BC" w:rsidP="002113A4">
            <w:pPr>
              <w:pStyle w:val="Prrafodelista"/>
              <w:numPr>
                <w:ilvl w:val="0"/>
                <w:numId w:val="0"/>
              </w:numPr>
              <w:spacing w:before="0" w:beforeAutospacing="0" w:after="0" w:afterAutospacing="0" w:line="276" w:lineRule="auto"/>
              <w:jc w:val="center"/>
              <w:cnfStyle w:val="100000000000" w:firstRow="1" w:lastRow="0" w:firstColumn="0" w:lastColumn="0" w:oddVBand="0" w:evenVBand="0" w:oddHBand="0" w:evenHBand="0" w:firstRowFirstColumn="0" w:firstRowLastColumn="0" w:lastRowFirstColumn="0" w:lastRowLastColumn="0"/>
              <w:rPr>
                <w:rFonts w:cstheme="majorHAnsi"/>
                <w:b w:val="0"/>
                <w:bCs w:val="0"/>
                <w:color w:val="FF0000"/>
                <w:sz w:val="18"/>
                <w:szCs w:val="18"/>
                <w:lang w:val="es-ES"/>
              </w:rPr>
            </w:pPr>
            <w:r w:rsidRPr="00A04252">
              <w:rPr>
                <w:rFonts w:cstheme="majorHAnsi"/>
                <w:color w:val="FF0000"/>
                <w:sz w:val="18"/>
                <w:szCs w:val="18"/>
                <w:lang w:val="es-ES"/>
              </w:rPr>
              <w:t>Objetivo</w:t>
            </w:r>
          </w:p>
        </w:tc>
        <w:tc>
          <w:tcPr>
            <w:tcW w:w="1582" w:type="dxa"/>
            <w:vAlign w:val="center"/>
          </w:tcPr>
          <w:p w14:paraId="2D53501F" w14:textId="5964DF92" w:rsidR="00C711BC" w:rsidRPr="00A04252" w:rsidRDefault="00C711BC" w:rsidP="002113A4">
            <w:pPr>
              <w:pStyle w:val="Prrafodelista"/>
              <w:numPr>
                <w:ilvl w:val="0"/>
                <w:numId w:val="0"/>
              </w:numPr>
              <w:spacing w:before="0" w:beforeAutospacing="0" w:after="0" w:afterAutospacing="0" w:line="276" w:lineRule="auto"/>
              <w:jc w:val="center"/>
              <w:cnfStyle w:val="100000000000" w:firstRow="1" w:lastRow="0" w:firstColumn="0" w:lastColumn="0" w:oddVBand="0" w:evenVBand="0" w:oddHBand="0" w:evenHBand="0" w:firstRowFirstColumn="0" w:firstRowLastColumn="0" w:lastRowFirstColumn="0" w:lastRowLastColumn="0"/>
              <w:rPr>
                <w:rFonts w:cstheme="majorHAnsi"/>
                <w:b w:val="0"/>
                <w:bCs w:val="0"/>
                <w:color w:val="FF0000"/>
                <w:sz w:val="18"/>
                <w:szCs w:val="18"/>
                <w:lang w:val="es-ES"/>
              </w:rPr>
            </w:pPr>
            <w:r w:rsidRPr="00A04252">
              <w:rPr>
                <w:rFonts w:cstheme="majorHAnsi"/>
                <w:color w:val="FF0000"/>
                <w:sz w:val="18"/>
                <w:szCs w:val="18"/>
                <w:lang w:val="es-ES"/>
              </w:rPr>
              <w:t>A</w:t>
            </w:r>
            <w:r w:rsidR="003804EA" w:rsidRPr="00A04252">
              <w:rPr>
                <w:rFonts w:cstheme="majorHAnsi"/>
                <w:color w:val="FF0000"/>
                <w:sz w:val="18"/>
                <w:szCs w:val="18"/>
                <w:lang w:val="es-ES"/>
              </w:rPr>
              <w:t>signación</w:t>
            </w:r>
            <w:r w:rsidR="00083B6B" w:rsidRPr="00A04252">
              <w:rPr>
                <w:rFonts w:cstheme="majorHAnsi"/>
                <w:color w:val="FF0000"/>
                <w:sz w:val="18"/>
                <w:szCs w:val="18"/>
                <w:lang w:val="es-ES"/>
              </w:rPr>
              <w:t xml:space="preserve"> (€)</w:t>
            </w:r>
          </w:p>
        </w:tc>
      </w:tr>
      <w:tr w:rsidR="003804EA" w:rsidRPr="001F5107" w14:paraId="5AB031B2" w14:textId="77777777" w:rsidTr="008E569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561" w:type="dxa"/>
            <w:vAlign w:val="center"/>
          </w:tcPr>
          <w:p w14:paraId="27F64B3F" w14:textId="540EB5F1" w:rsidR="00C711BC" w:rsidRPr="003804EA" w:rsidRDefault="00C711BC" w:rsidP="00FC4807">
            <w:pPr>
              <w:pStyle w:val="Prrafodelista"/>
              <w:numPr>
                <w:ilvl w:val="0"/>
                <w:numId w:val="33"/>
              </w:numPr>
              <w:spacing w:before="0" w:beforeAutospacing="0" w:after="0" w:line="0" w:lineRule="atLeast"/>
              <w:jc w:val="left"/>
              <w:rPr>
                <w:rFonts w:cstheme="majorHAnsi"/>
                <w:b w:val="0"/>
                <w:bCs w:val="0"/>
                <w:sz w:val="18"/>
                <w:szCs w:val="18"/>
                <w:lang w:val="es-ES"/>
              </w:rPr>
            </w:pPr>
            <w:r w:rsidRPr="003804EA">
              <w:rPr>
                <w:rFonts w:cstheme="majorHAnsi"/>
                <w:b w:val="0"/>
                <w:bCs w:val="0"/>
                <w:sz w:val="18"/>
                <w:szCs w:val="18"/>
                <w:lang w:val="es-ES"/>
              </w:rPr>
              <w:t xml:space="preserve">Fortalecimiento de la economía mediante la inversión en investigación e innovación, apoyo a la competitividad de los negocios, digitalización y desarrollo de </w:t>
            </w:r>
            <w:r w:rsidRPr="003666E1">
              <w:rPr>
                <w:rFonts w:cstheme="majorHAnsi"/>
                <w:b w:val="0"/>
                <w:bCs w:val="0"/>
                <w:i/>
                <w:iCs/>
                <w:sz w:val="18"/>
                <w:szCs w:val="18"/>
                <w:lang w:val="es-ES"/>
              </w:rPr>
              <w:t>SKILLS</w:t>
            </w:r>
            <w:r w:rsidRPr="003804EA">
              <w:rPr>
                <w:rFonts w:cstheme="majorHAnsi"/>
                <w:b w:val="0"/>
                <w:bCs w:val="0"/>
                <w:sz w:val="18"/>
                <w:szCs w:val="18"/>
                <w:lang w:val="es-ES"/>
              </w:rPr>
              <w:t xml:space="preserve"> para la especialización inteligente</w:t>
            </w:r>
            <w:r w:rsidR="003804EA" w:rsidRPr="003804EA">
              <w:rPr>
                <w:rFonts w:cstheme="majorHAnsi"/>
                <w:b w:val="0"/>
                <w:bCs w:val="0"/>
                <w:sz w:val="18"/>
                <w:szCs w:val="18"/>
                <w:lang w:val="es-ES"/>
              </w:rPr>
              <w:t>.</w:t>
            </w:r>
          </w:p>
        </w:tc>
        <w:tc>
          <w:tcPr>
            <w:tcW w:w="1568" w:type="dxa"/>
            <w:vAlign w:val="center"/>
          </w:tcPr>
          <w:p w14:paraId="2EB17293" w14:textId="77777777" w:rsidR="00C711BC" w:rsidRPr="00112AA8" w:rsidRDefault="00C711BC" w:rsidP="00FC4807">
            <w:pPr>
              <w:pStyle w:val="Prrafodelista"/>
              <w:numPr>
                <w:ilvl w:val="0"/>
                <w:numId w:val="0"/>
              </w:numPr>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cstheme="majorHAnsi"/>
                <w:sz w:val="18"/>
                <w:szCs w:val="18"/>
                <w:lang w:val="es-ES"/>
              </w:rPr>
            </w:pPr>
            <w:r w:rsidRPr="00112AA8">
              <w:rPr>
                <w:rFonts w:cstheme="majorHAnsi"/>
                <w:sz w:val="18"/>
                <w:szCs w:val="18"/>
                <w:lang w:val="es-ES"/>
              </w:rPr>
              <w:t>1. Europa inteligente</w:t>
            </w:r>
          </w:p>
        </w:tc>
        <w:tc>
          <w:tcPr>
            <w:tcW w:w="1582" w:type="dxa"/>
            <w:vAlign w:val="center"/>
          </w:tcPr>
          <w:p w14:paraId="68853E34" w14:textId="77777777" w:rsidR="00C711BC" w:rsidRPr="00112AA8" w:rsidRDefault="00C711BC" w:rsidP="00FC4807">
            <w:pPr>
              <w:pStyle w:val="Prrafodelista"/>
              <w:numPr>
                <w:ilvl w:val="0"/>
                <w:numId w:val="0"/>
              </w:numPr>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cstheme="majorHAnsi"/>
                <w:sz w:val="18"/>
                <w:szCs w:val="18"/>
                <w:lang w:val="es-ES"/>
              </w:rPr>
            </w:pPr>
            <w:r w:rsidRPr="00112AA8">
              <w:rPr>
                <w:rFonts w:cstheme="majorHAnsi"/>
                <w:sz w:val="18"/>
                <w:szCs w:val="18"/>
                <w:lang w:val="es-ES"/>
              </w:rPr>
              <w:t>1.197.631.697</w:t>
            </w:r>
          </w:p>
        </w:tc>
      </w:tr>
      <w:tr w:rsidR="003804EA" w:rsidRPr="001F5107" w14:paraId="0515266E" w14:textId="77777777" w:rsidTr="008E5692">
        <w:trPr>
          <w:trHeight w:val="227"/>
        </w:trPr>
        <w:tc>
          <w:tcPr>
            <w:cnfStyle w:val="001000000000" w:firstRow="0" w:lastRow="0" w:firstColumn="1" w:lastColumn="0" w:oddVBand="0" w:evenVBand="0" w:oddHBand="0" w:evenHBand="0" w:firstRowFirstColumn="0" w:firstRowLastColumn="0" w:lastRowFirstColumn="0" w:lastRowLastColumn="0"/>
            <w:tcW w:w="6561" w:type="dxa"/>
            <w:vAlign w:val="center"/>
          </w:tcPr>
          <w:p w14:paraId="31CBA088" w14:textId="564D4964" w:rsidR="00C711BC" w:rsidRPr="003804EA" w:rsidRDefault="00C711BC" w:rsidP="00FC4807">
            <w:pPr>
              <w:pStyle w:val="Prrafodelista"/>
              <w:numPr>
                <w:ilvl w:val="0"/>
                <w:numId w:val="33"/>
              </w:numPr>
              <w:spacing w:before="0" w:beforeAutospacing="0" w:after="0" w:afterAutospacing="0" w:line="0" w:lineRule="atLeast"/>
              <w:jc w:val="left"/>
              <w:rPr>
                <w:rFonts w:cstheme="majorHAnsi"/>
                <w:b w:val="0"/>
                <w:bCs w:val="0"/>
                <w:sz w:val="18"/>
                <w:szCs w:val="18"/>
                <w:lang w:val="es-ES"/>
              </w:rPr>
            </w:pPr>
            <w:r w:rsidRPr="003804EA">
              <w:rPr>
                <w:rFonts w:cstheme="majorHAnsi"/>
                <w:b w:val="0"/>
                <w:bCs w:val="0"/>
                <w:sz w:val="18"/>
                <w:szCs w:val="18"/>
                <w:lang w:val="es-ES"/>
              </w:rPr>
              <w:t>Fortalecimiento de la conectividad digital</w:t>
            </w:r>
            <w:r w:rsidR="003804EA" w:rsidRPr="003804EA">
              <w:rPr>
                <w:rFonts w:cstheme="majorHAnsi"/>
                <w:b w:val="0"/>
                <w:bCs w:val="0"/>
                <w:sz w:val="18"/>
                <w:szCs w:val="18"/>
                <w:lang w:val="es-ES"/>
              </w:rPr>
              <w:t>.</w:t>
            </w:r>
          </w:p>
        </w:tc>
        <w:tc>
          <w:tcPr>
            <w:tcW w:w="1568" w:type="dxa"/>
            <w:vAlign w:val="center"/>
          </w:tcPr>
          <w:p w14:paraId="6BDA4C1B" w14:textId="77777777" w:rsidR="00C711BC" w:rsidRPr="00112AA8" w:rsidRDefault="00C711BC" w:rsidP="00FC4807">
            <w:pPr>
              <w:pStyle w:val="Prrafodelista"/>
              <w:numPr>
                <w:ilvl w:val="0"/>
                <w:numId w:val="0"/>
              </w:numPr>
              <w:spacing w:before="0" w:beforeAutospacing="0" w:after="0" w:afterAutospacing="0" w:line="0" w:lineRule="atLeast"/>
              <w:jc w:val="center"/>
              <w:cnfStyle w:val="000000000000" w:firstRow="0" w:lastRow="0" w:firstColumn="0" w:lastColumn="0" w:oddVBand="0" w:evenVBand="0" w:oddHBand="0" w:evenHBand="0" w:firstRowFirstColumn="0" w:firstRowLastColumn="0" w:lastRowFirstColumn="0" w:lastRowLastColumn="0"/>
              <w:rPr>
                <w:rFonts w:cstheme="majorHAnsi"/>
                <w:sz w:val="18"/>
                <w:szCs w:val="18"/>
                <w:lang w:val="es-ES"/>
              </w:rPr>
            </w:pPr>
            <w:r w:rsidRPr="00112AA8">
              <w:rPr>
                <w:rFonts w:cstheme="majorHAnsi"/>
                <w:sz w:val="18"/>
                <w:szCs w:val="18"/>
                <w:lang w:val="es-ES"/>
              </w:rPr>
              <w:t>1. Europa inteligente</w:t>
            </w:r>
          </w:p>
        </w:tc>
        <w:tc>
          <w:tcPr>
            <w:tcW w:w="1582" w:type="dxa"/>
            <w:vAlign w:val="center"/>
          </w:tcPr>
          <w:p w14:paraId="30A6ABAF" w14:textId="77777777" w:rsidR="00C711BC" w:rsidRPr="00112AA8" w:rsidRDefault="00C711BC" w:rsidP="00FC4807">
            <w:pPr>
              <w:pStyle w:val="Prrafodelista"/>
              <w:numPr>
                <w:ilvl w:val="0"/>
                <w:numId w:val="0"/>
              </w:numPr>
              <w:spacing w:before="0" w:beforeAutospacing="0" w:after="0" w:afterAutospacing="0" w:line="0" w:lineRule="atLeast"/>
              <w:jc w:val="center"/>
              <w:cnfStyle w:val="000000000000" w:firstRow="0" w:lastRow="0" w:firstColumn="0" w:lastColumn="0" w:oddVBand="0" w:evenVBand="0" w:oddHBand="0" w:evenHBand="0" w:firstRowFirstColumn="0" w:firstRowLastColumn="0" w:lastRowFirstColumn="0" w:lastRowLastColumn="0"/>
              <w:rPr>
                <w:rFonts w:cstheme="majorHAnsi"/>
                <w:sz w:val="18"/>
                <w:szCs w:val="18"/>
                <w:lang w:val="es-ES"/>
              </w:rPr>
            </w:pPr>
            <w:r w:rsidRPr="00112AA8">
              <w:rPr>
                <w:rFonts w:cstheme="majorHAnsi"/>
                <w:sz w:val="18"/>
                <w:szCs w:val="18"/>
                <w:lang w:val="es-ES"/>
              </w:rPr>
              <w:t>51.750.000</w:t>
            </w:r>
          </w:p>
        </w:tc>
      </w:tr>
      <w:tr w:rsidR="003804EA" w:rsidRPr="001F5107" w14:paraId="1123A82F" w14:textId="77777777" w:rsidTr="008E569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561" w:type="dxa"/>
            <w:vAlign w:val="center"/>
          </w:tcPr>
          <w:p w14:paraId="3CC53598" w14:textId="4EB74FE2" w:rsidR="00C711BC" w:rsidRPr="003804EA" w:rsidRDefault="00C711BC" w:rsidP="00FC4807">
            <w:pPr>
              <w:pStyle w:val="Prrafodelista"/>
              <w:numPr>
                <w:ilvl w:val="0"/>
                <w:numId w:val="33"/>
              </w:numPr>
              <w:spacing w:before="0" w:beforeAutospacing="0" w:after="0" w:afterAutospacing="0" w:line="0" w:lineRule="atLeast"/>
              <w:jc w:val="left"/>
              <w:rPr>
                <w:rFonts w:cstheme="majorHAnsi"/>
                <w:b w:val="0"/>
                <w:bCs w:val="0"/>
                <w:sz w:val="18"/>
                <w:szCs w:val="18"/>
                <w:lang w:val="es-ES"/>
              </w:rPr>
            </w:pPr>
            <w:r w:rsidRPr="003804EA">
              <w:rPr>
                <w:rFonts w:cstheme="majorHAnsi"/>
                <w:b w:val="0"/>
                <w:bCs w:val="0"/>
                <w:sz w:val="18"/>
                <w:szCs w:val="18"/>
                <w:lang w:val="es-ES"/>
              </w:rPr>
              <w:t xml:space="preserve">Promoción de la eficiencia energética y fuentes de energías renovables, adaptación al cambio climático, prevención de riesgos, protección del </w:t>
            </w:r>
            <w:r w:rsidR="00D37C60">
              <w:rPr>
                <w:rFonts w:cstheme="majorHAnsi"/>
                <w:b w:val="0"/>
                <w:bCs w:val="0"/>
                <w:sz w:val="18"/>
                <w:szCs w:val="18"/>
                <w:lang w:val="es-ES"/>
              </w:rPr>
              <w:t>m</w:t>
            </w:r>
            <w:r w:rsidR="00DE46CE">
              <w:rPr>
                <w:rFonts w:cstheme="majorHAnsi"/>
                <w:b w:val="0"/>
                <w:bCs w:val="0"/>
                <w:sz w:val="18"/>
                <w:szCs w:val="18"/>
                <w:lang w:val="es-ES"/>
              </w:rPr>
              <w:t>edioambiente</w:t>
            </w:r>
            <w:r w:rsidRPr="003804EA">
              <w:rPr>
                <w:rFonts w:cstheme="majorHAnsi"/>
                <w:b w:val="0"/>
                <w:bCs w:val="0"/>
                <w:sz w:val="18"/>
                <w:szCs w:val="18"/>
                <w:lang w:val="es-ES"/>
              </w:rPr>
              <w:t xml:space="preserve"> y sostenibilidad de los recursos</w:t>
            </w:r>
            <w:r w:rsidR="003804EA" w:rsidRPr="003804EA">
              <w:rPr>
                <w:rFonts w:cstheme="majorHAnsi"/>
                <w:b w:val="0"/>
                <w:bCs w:val="0"/>
                <w:sz w:val="18"/>
                <w:szCs w:val="18"/>
                <w:lang w:val="es-ES"/>
              </w:rPr>
              <w:t>.</w:t>
            </w:r>
          </w:p>
        </w:tc>
        <w:tc>
          <w:tcPr>
            <w:tcW w:w="1568" w:type="dxa"/>
            <w:vAlign w:val="center"/>
          </w:tcPr>
          <w:p w14:paraId="74A5E73A" w14:textId="32062912" w:rsidR="00C711BC" w:rsidRPr="00112AA8" w:rsidRDefault="00C711BC" w:rsidP="00FC4807">
            <w:pPr>
              <w:pStyle w:val="Prrafodelista"/>
              <w:numPr>
                <w:ilvl w:val="0"/>
                <w:numId w:val="0"/>
              </w:numPr>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cstheme="majorHAnsi"/>
                <w:sz w:val="18"/>
                <w:szCs w:val="18"/>
                <w:lang w:val="es-ES"/>
              </w:rPr>
            </w:pPr>
            <w:r w:rsidRPr="00112AA8">
              <w:rPr>
                <w:rFonts w:cstheme="majorHAnsi"/>
                <w:sz w:val="18"/>
                <w:szCs w:val="18"/>
                <w:lang w:val="es-ES"/>
              </w:rPr>
              <w:t xml:space="preserve">2. Europa </w:t>
            </w:r>
            <w:r w:rsidR="003804EA">
              <w:rPr>
                <w:rFonts w:cstheme="majorHAnsi"/>
                <w:sz w:val="18"/>
                <w:szCs w:val="18"/>
                <w:lang w:val="es-ES"/>
              </w:rPr>
              <w:t>v</w:t>
            </w:r>
            <w:r w:rsidRPr="00112AA8">
              <w:rPr>
                <w:rFonts w:cstheme="majorHAnsi"/>
                <w:sz w:val="18"/>
                <w:szCs w:val="18"/>
                <w:lang w:val="es-ES"/>
              </w:rPr>
              <w:t>erde</w:t>
            </w:r>
          </w:p>
        </w:tc>
        <w:tc>
          <w:tcPr>
            <w:tcW w:w="1582" w:type="dxa"/>
            <w:vAlign w:val="center"/>
          </w:tcPr>
          <w:p w14:paraId="1BA48233" w14:textId="77777777" w:rsidR="00C711BC" w:rsidRPr="00112AA8" w:rsidRDefault="00C711BC" w:rsidP="00FC4807">
            <w:pPr>
              <w:pStyle w:val="Prrafodelista"/>
              <w:numPr>
                <w:ilvl w:val="0"/>
                <w:numId w:val="0"/>
              </w:numPr>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cstheme="majorHAnsi"/>
                <w:sz w:val="18"/>
                <w:szCs w:val="18"/>
                <w:lang w:val="es-ES"/>
              </w:rPr>
            </w:pPr>
            <w:r w:rsidRPr="00112AA8">
              <w:rPr>
                <w:rFonts w:cstheme="majorHAnsi"/>
                <w:sz w:val="18"/>
                <w:szCs w:val="18"/>
                <w:lang w:val="es-ES"/>
              </w:rPr>
              <w:t>2.081.528.342</w:t>
            </w:r>
          </w:p>
        </w:tc>
      </w:tr>
      <w:tr w:rsidR="003804EA" w:rsidRPr="001F5107" w14:paraId="0E6E4F3E" w14:textId="77777777" w:rsidTr="008E5692">
        <w:trPr>
          <w:trHeight w:val="227"/>
        </w:trPr>
        <w:tc>
          <w:tcPr>
            <w:cnfStyle w:val="001000000000" w:firstRow="0" w:lastRow="0" w:firstColumn="1" w:lastColumn="0" w:oddVBand="0" w:evenVBand="0" w:oddHBand="0" w:evenHBand="0" w:firstRowFirstColumn="0" w:firstRowLastColumn="0" w:lastRowFirstColumn="0" w:lastRowLastColumn="0"/>
            <w:tcW w:w="6561" w:type="dxa"/>
            <w:vAlign w:val="center"/>
          </w:tcPr>
          <w:p w14:paraId="02B65C4D" w14:textId="38849625" w:rsidR="00C711BC" w:rsidRPr="003804EA" w:rsidRDefault="00C711BC" w:rsidP="00FC4807">
            <w:pPr>
              <w:pStyle w:val="Prrafodelista"/>
              <w:numPr>
                <w:ilvl w:val="0"/>
                <w:numId w:val="33"/>
              </w:numPr>
              <w:spacing w:before="0" w:beforeAutospacing="0" w:after="0" w:afterAutospacing="0" w:line="0" w:lineRule="atLeast"/>
              <w:jc w:val="left"/>
              <w:rPr>
                <w:rFonts w:cstheme="majorHAnsi"/>
                <w:b w:val="0"/>
                <w:bCs w:val="0"/>
                <w:sz w:val="18"/>
                <w:szCs w:val="18"/>
                <w:lang w:val="es-ES"/>
              </w:rPr>
            </w:pPr>
            <w:r w:rsidRPr="003804EA">
              <w:rPr>
                <w:rFonts w:cstheme="majorHAnsi"/>
                <w:b w:val="0"/>
                <w:bCs w:val="0"/>
                <w:sz w:val="18"/>
                <w:szCs w:val="18"/>
                <w:lang w:val="es-ES"/>
              </w:rPr>
              <w:t>Desarrollo de la movilidad urbana intermodal sostenible, como parte de la transición hacia una economía de bajo carbón</w:t>
            </w:r>
            <w:r w:rsidR="003804EA" w:rsidRPr="003804EA">
              <w:rPr>
                <w:rFonts w:cstheme="majorHAnsi"/>
                <w:b w:val="0"/>
                <w:bCs w:val="0"/>
                <w:sz w:val="18"/>
                <w:szCs w:val="18"/>
                <w:lang w:val="es-ES"/>
              </w:rPr>
              <w:t>.</w:t>
            </w:r>
          </w:p>
        </w:tc>
        <w:tc>
          <w:tcPr>
            <w:tcW w:w="1568" w:type="dxa"/>
            <w:vAlign w:val="center"/>
          </w:tcPr>
          <w:p w14:paraId="28FF99A4" w14:textId="27A4936C" w:rsidR="00C711BC" w:rsidRPr="00112AA8" w:rsidRDefault="00C711BC" w:rsidP="00FC4807">
            <w:pPr>
              <w:pStyle w:val="Prrafodelista"/>
              <w:numPr>
                <w:ilvl w:val="0"/>
                <w:numId w:val="0"/>
              </w:numPr>
              <w:spacing w:before="0" w:beforeAutospacing="0" w:after="0" w:afterAutospacing="0" w:line="0" w:lineRule="atLeast"/>
              <w:jc w:val="center"/>
              <w:cnfStyle w:val="000000000000" w:firstRow="0" w:lastRow="0" w:firstColumn="0" w:lastColumn="0" w:oddVBand="0" w:evenVBand="0" w:oddHBand="0" w:evenHBand="0" w:firstRowFirstColumn="0" w:firstRowLastColumn="0" w:lastRowFirstColumn="0" w:lastRowLastColumn="0"/>
              <w:rPr>
                <w:rFonts w:cstheme="majorHAnsi"/>
                <w:sz w:val="18"/>
                <w:szCs w:val="18"/>
                <w:lang w:val="es-ES"/>
              </w:rPr>
            </w:pPr>
            <w:r w:rsidRPr="00112AA8">
              <w:rPr>
                <w:rFonts w:cstheme="majorHAnsi"/>
                <w:sz w:val="18"/>
                <w:szCs w:val="18"/>
                <w:lang w:val="es-ES"/>
              </w:rPr>
              <w:t xml:space="preserve">2. Europa </w:t>
            </w:r>
            <w:r w:rsidR="003804EA">
              <w:rPr>
                <w:rFonts w:cstheme="majorHAnsi"/>
                <w:sz w:val="18"/>
                <w:szCs w:val="18"/>
                <w:lang w:val="es-ES"/>
              </w:rPr>
              <w:t>v</w:t>
            </w:r>
            <w:r w:rsidRPr="00112AA8">
              <w:rPr>
                <w:rFonts w:cstheme="majorHAnsi"/>
                <w:sz w:val="18"/>
                <w:szCs w:val="18"/>
                <w:lang w:val="es-ES"/>
              </w:rPr>
              <w:t>erde</w:t>
            </w:r>
          </w:p>
        </w:tc>
        <w:tc>
          <w:tcPr>
            <w:tcW w:w="1582" w:type="dxa"/>
            <w:vAlign w:val="center"/>
          </w:tcPr>
          <w:p w14:paraId="70B5EDBD" w14:textId="77777777" w:rsidR="00C711BC" w:rsidRPr="00112AA8" w:rsidRDefault="00C711BC" w:rsidP="00FC4807">
            <w:pPr>
              <w:pStyle w:val="Prrafodelista"/>
              <w:numPr>
                <w:ilvl w:val="0"/>
                <w:numId w:val="0"/>
              </w:numPr>
              <w:spacing w:before="0" w:beforeAutospacing="0" w:after="0" w:afterAutospacing="0" w:line="0" w:lineRule="atLeast"/>
              <w:jc w:val="center"/>
              <w:cnfStyle w:val="000000000000" w:firstRow="0" w:lastRow="0" w:firstColumn="0" w:lastColumn="0" w:oddVBand="0" w:evenVBand="0" w:oddHBand="0" w:evenHBand="0" w:firstRowFirstColumn="0" w:firstRowLastColumn="0" w:lastRowFirstColumn="0" w:lastRowLastColumn="0"/>
              <w:rPr>
                <w:rFonts w:cstheme="majorHAnsi"/>
                <w:sz w:val="18"/>
                <w:szCs w:val="18"/>
                <w:lang w:val="es-ES"/>
              </w:rPr>
            </w:pPr>
            <w:r w:rsidRPr="00112AA8">
              <w:rPr>
                <w:rFonts w:cstheme="majorHAnsi"/>
                <w:sz w:val="18"/>
                <w:szCs w:val="18"/>
                <w:lang w:val="es-ES"/>
              </w:rPr>
              <w:t>213.371.257</w:t>
            </w:r>
          </w:p>
        </w:tc>
      </w:tr>
      <w:tr w:rsidR="003804EA" w:rsidRPr="001F5107" w14:paraId="3C0DFD95" w14:textId="77777777" w:rsidTr="008E569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561" w:type="dxa"/>
            <w:vAlign w:val="center"/>
          </w:tcPr>
          <w:p w14:paraId="6DFD4407" w14:textId="6C6D4969" w:rsidR="00C711BC" w:rsidRPr="003804EA" w:rsidRDefault="00C711BC" w:rsidP="00FC4807">
            <w:pPr>
              <w:pStyle w:val="Prrafodelista"/>
              <w:numPr>
                <w:ilvl w:val="0"/>
                <w:numId w:val="33"/>
              </w:numPr>
              <w:spacing w:before="0" w:beforeAutospacing="0" w:after="0" w:afterAutospacing="0" w:line="0" w:lineRule="atLeast"/>
              <w:jc w:val="left"/>
              <w:rPr>
                <w:rFonts w:cstheme="majorHAnsi"/>
                <w:b w:val="0"/>
                <w:bCs w:val="0"/>
                <w:sz w:val="18"/>
                <w:szCs w:val="18"/>
                <w:lang w:val="es-ES"/>
              </w:rPr>
            </w:pPr>
            <w:r w:rsidRPr="003804EA">
              <w:rPr>
                <w:rFonts w:cstheme="majorHAnsi"/>
                <w:b w:val="0"/>
                <w:bCs w:val="0"/>
                <w:sz w:val="18"/>
                <w:szCs w:val="18"/>
                <w:lang w:val="es-ES"/>
              </w:rPr>
              <w:t>Desarrollo de una movilidad sostenible, inteligente y segura</w:t>
            </w:r>
            <w:r w:rsidR="003804EA" w:rsidRPr="003804EA">
              <w:rPr>
                <w:rFonts w:cstheme="majorHAnsi"/>
                <w:b w:val="0"/>
                <w:bCs w:val="0"/>
                <w:sz w:val="18"/>
                <w:szCs w:val="18"/>
                <w:lang w:val="es-ES"/>
              </w:rPr>
              <w:t>.</w:t>
            </w:r>
          </w:p>
        </w:tc>
        <w:tc>
          <w:tcPr>
            <w:tcW w:w="1568" w:type="dxa"/>
            <w:vAlign w:val="center"/>
          </w:tcPr>
          <w:p w14:paraId="2827BB5A" w14:textId="77777777" w:rsidR="00C711BC" w:rsidRPr="00112AA8" w:rsidRDefault="00C711BC" w:rsidP="00FC4807">
            <w:pPr>
              <w:pStyle w:val="Prrafodelista"/>
              <w:numPr>
                <w:ilvl w:val="0"/>
                <w:numId w:val="0"/>
              </w:numPr>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cstheme="majorHAnsi"/>
                <w:sz w:val="18"/>
                <w:szCs w:val="18"/>
                <w:lang w:val="es-ES"/>
              </w:rPr>
            </w:pPr>
            <w:r w:rsidRPr="00112AA8">
              <w:rPr>
                <w:rFonts w:cstheme="majorHAnsi"/>
                <w:sz w:val="18"/>
                <w:szCs w:val="18"/>
                <w:lang w:val="es-ES"/>
              </w:rPr>
              <w:t>3. Europa conectada</w:t>
            </w:r>
          </w:p>
        </w:tc>
        <w:tc>
          <w:tcPr>
            <w:tcW w:w="1582" w:type="dxa"/>
            <w:vAlign w:val="center"/>
          </w:tcPr>
          <w:p w14:paraId="174B3A73" w14:textId="77777777" w:rsidR="00C711BC" w:rsidRPr="00112AA8" w:rsidRDefault="00C711BC" w:rsidP="00FC4807">
            <w:pPr>
              <w:pStyle w:val="Prrafodelista"/>
              <w:numPr>
                <w:ilvl w:val="0"/>
                <w:numId w:val="0"/>
              </w:numPr>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cstheme="majorHAnsi"/>
                <w:sz w:val="18"/>
                <w:szCs w:val="18"/>
                <w:lang w:val="es-ES"/>
              </w:rPr>
            </w:pPr>
            <w:r w:rsidRPr="00112AA8">
              <w:rPr>
                <w:rFonts w:cstheme="majorHAnsi"/>
                <w:sz w:val="18"/>
                <w:szCs w:val="18"/>
                <w:lang w:val="es-ES"/>
              </w:rPr>
              <w:t>1.010.318.392</w:t>
            </w:r>
          </w:p>
        </w:tc>
      </w:tr>
      <w:tr w:rsidR="003804EA" w:rsidRPr="001F5107" w14:paraId="3EDCEBA3" w14:textId="77777777" w:rsidTr="008E5692">
        <w:trPr>
          <w:trHeight w:val="227"/>
        </w:trPr>
        <w:tc>
          <w:tcPr>
            <w:cnfStyle w:val="001000000000" w:firstRow="0" w:lastRow="0" w:firstColumn="1" w:lastColumn="0" w:oddVBand="0" w:evenVBand="0" w:oddHBand="0" w:evenHBand="0" w:firstRowFirstColumn="0" w:firstRowLastColumn="0" w:lastRowFirstColumn="0" w:lastRowLastColumn="0"/>
            <w:tcW w:w="6561" w:type="dxa"/>
            <w:vAlign w:val="center"/>
          </w:tcPr>
          <w:p w14:paraId="6CC54144" w14:textId="28E37587" w:rsidR="00C711BC" w:rsidRPr="003804EA" w:rsidRDefault="00C711BC" w:rsidP="00FC4807">
            <w:pPr>
              <w:pStyle w:val="Prrafodelista"/>
              <w:numPr>
                <w:ilvl w:val="0"/>
                <w:numId w:val="33"/>
              </w:numPr>
              <w:spacing w:before="0" w:beforeAutospacing="0" w:after="0" w:afterAutospacing="0" w:line="0" w:lineRule="atLeast"/>
              <w:jc w:val="left"/>
              <w:rPr>
                <w:rFonts w:cstheme="majorHAnsi"/>
                <w:b w:val="0"/>
                <w:bCs w:val="0"/>
                <w:sz w:val="18"/>
                <w:szCs w:val="18"/>
                <w:lang w:val="es-ES"/>
              </w:rPr>
            </w:pPr>
            <w:r w:rsidRPr="003804EA">
              <w:rPr>
                <w:rFonts w:cstheme="majorHAnsi"/>
                <w:b w:val="0"/>
                <w:bCs w:val="0"/>
                <w:sz w:val="18"/>
                <w:szCs w:val="18"/>
                <w:lang w:val="es-ES"/>
              </w:rPr>
              <w:t>Fortalecimiento del sistema sanitario, promoción de la inclusión social, educación y formación durante toda la vida</w:t>
            </w:r>
            <w:r w:rsidR="003804EA" w:rsidRPr="003804EA">
              <w:rPr>
                <w:rFonts w:cstheme="majorHAnsi"/>
                <w:b w:val="0"/>
                <w:bCs w:val="0"/>
                <w:sz w:val="18"/>
                <w:szCs w:val="18"/>
                <w:lang w:val="es-ES"/>
              </w:rPr>
              <w:t>.</w:t>
            </w:r>
          </w:p>
        </w:tc>
        <w:tc>
          <w:tcPr>
            <w:tcW w:w="1568" w:type="dxa"/>
            <w:vAlign w:val="center"/>
          </w:tcPr>
          <w:p w14:paraId="6665AFEF" w14:textId="77777777" w:rsidR="00C711BC" w:rsidRPr="00112AA8" w:rsidRDefault="00C711BC" w:rsidP="00FC4807">
            <w:pPr>
              <w:pStyle w:val="Prrafodelista"/>
              <w:numPr>
                <w:ilvl w:val="0"/>
                <w:numId w:val="0"/>
              </w:numPr>
              <w:spacing w:before="0" w:beforeAutospacing="0" w:after="0" w:afterAutospacing="0" w:line="0" w:lineRule="atLeast"/>
              <w:jc w:val="center"/>
              <w:cnfStyle w:val="000000000000" w:firstRow="0" w:lastRow="0" w:firstColumn="0" w:lastColumn="0" w:oddVBand="0" w:evenVBand="0" w:oddHBand="0" w:evenHBand="0" w:firstRowFirstColumn="0" w:firstRowLastColumn="0" w:lastRowFirstColumn="0" w:lastRowLastColumn="0"/>
              <w:rPr>
                <w:rFonts w:cstheme="majorHAnsi"/>
                <w:sz w:val="18"/>
                <w:szCs w:val="18"/>
                <w:lang w:val="es-ES"/>
              </w:rPr>
            </w:pPr>
            <w:r w:rsidRPr="00112AA8">
              <w:rPr>
                <w:rFonts w:cstheme="majorHAnsi"/>
                <w:sz w:val="18"/>
                <w:szCs w:val="18"/>
                <w:lang w:val="es-ES"/>
              </w:rPr>
              <w:t>4. Europa solidaria</w:t>
            </w:r>
          </w:p>
        </w:tc>
        <w:tc>
          <w:tcPr>
            <w:tcW w:w="1582" w:type="dxa"/>
            <w:vAlign w:val="center"/>
          </w:tcPr>
          <w:p w14:paraId="661B42C2" w14:textId="77777777" w:rsidR="00C711BC" w:rsidRPr="00112AA8" w:rsidRDefault="00C711BC" w:rsidP="00FC4807">
            <w:pPr>
              <w:pStyle w:val="Prrafodelista"/>
              <w:numPr>
                <w:ilvl w:val="0"/>
                <w:numId w:val="0"/>
              </w:numPr>
              <w:spacing w:before="0" w:beforeAutospacing="0" w:after="0" w:afterAutospacing="0" w:line="0" w:lineRule="atLeast"/>
              <w:jc w:val="center"/>
              <w:cnfStyle w:val="000000000000" w:firstRow="0" w:lastRow="0" w:firstColumn="0" w:lastColumn="0" w:oddVBand="0" w:evenVBand="0" w:oddHBand="0" w:evenHBand="0" w:firstRowFirstColumn="0" w:firstRowLastColumn="0" w:lastRowFirstColumn="0" w:lastRowLastColumn="0"/>
              <w:rPr>
                <w:rFonts w:cstheme="majorHAnsi"/>
                <w:sz w:val="18"/>
                <w:szCs w:val="18"/>
                <w:lang w:val="es-ES"/>
              </w:rPr>
            </w:pPr>
            <w:r w:rsidRPr="00112AA8">
              <w:rPr>
                <w:rFonts w:cstheme="majorHAnsi"/>
                <w:sz w:val="18"/>
                <w:szCs w:val="18"/>
                <w:lang w:val="es-ES"/>
              </w:rPr>
              <w:t>648.432.406</w:t>
            </w:r>
          </w:p>
        </w:tc>
      </w:tr>
      <w:tr w:rsidR="003804EA" w:rsidRPr="001F5107" w14:paraId="3492A907" w14:textId="77777777" w:rsidTr="008E569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561" w:type="dxa"/>
            <w:vAlign w:val="center"/>
          </w:tcPr>
          <w:p w14:paraId="3C4899EB" w14:textId="1B53B478" w:rsidR="00C711BC" w:rsidRPr="00112AA8" w:rsidRDefault="003804EA" w:rsidP="00FC4807">
            <w:pPr>
              <w:pStyle w:val="Prrafodelista"/>
              <w:numPr>
                <w:ilvl w:val="0"/>
                <w:numId w:val="0"/>
              </w:numPr>
              <w:spacing w:before="0" w:beforeAutospacing="0" w:after="0" w:afterAutospacing="0" w:line="0" w:lineRule="atLeast"/>
              <w:jc w:val="left"/>
              <w:rPr>
                <w:rFonts w:cstheme="majorHAnsi"/>
                <w:sz w:val="18"/>
                <w:szCs w:val="18"/>
                <w:lang w:val="es-ES"/>
              </w:rPr>
            </w:pPr>
            <w:r>
              <w:rPr>
                <w:rFonts w:cstheme="majorHAnsi"/>
                <w:sz w:val="18"/>
                <w:szCs w:val="18"/>
                <w:lang w:val="es-ES"/>
              </w:rPr>
              <w:t>TOTAL</w:t>
            </w:r>
          </w:p>
        </w:tc>
        <w:tc>
          <w:tcPr>
            <w:tcW w:w="1568" w:type="dxa"/>
            <w:vAlign w:val="center"/>
          </w:tcPr>
          <w:p w14:paraId="48458DB5" w14:textId="5E127FD4" w:rsidR="00C711BC" w:rsidRPr="00112AA8" w:rsidRDefault="00C711BC" w:rsidP="00FC4807">
            <w:pPr>
              <w:pStyle w:val="Prrafodelista"/>
              <w:numPr>
                <w:ilvl w:val="0"/>
                <w:numId w:val="0"/>
              </w:numPr>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cstheme="majorHAnsi"/>
                <w:b/>
                <w:bCs/>
                <w:sz w:val="18"/>
                <w:szCs w:val="18"/>
                <w:lang w:val="es-ES"/>
              </w:rPr>
            </w:pPr>
          </w:p>
        </w:tc>
        <w:tc>
          <w:tcPr>
            <w:tcW w:w="1582" w:type="dxa"/>
            <w:vAlign w:val="center"/>
          </w:tcPr>
          <w:p w14:paraId="2F5A4194" w14:textId="77777777" w:rsidR="00C711BC" w:rsidRPr="00112AA8" w:rsidRDefault="00C711BC" w:rsidP="00FC4807">
            <w:pPr>
              <w:pStyle w:val="Prrafodelista"/>
              <w:numPr>
                <w:ilvl w:val="0"/>
                <w:numId w:val="0"/>
              </w:numPr>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cstheme="majorHAnsi"/>
                <w:b/>
                <w:bCs/>
                <w:sz w:val="18"/>
                <w:szCs w:val="18"/>
                <w:lang w:val="es-ES"/>
              </w:rPr>
            </w:pPr>
            <w:r w:rsidRPr="00112AA8">
              <w:rPr>
                <w:rFonts w:cstheme="majorHAnsi"/>
                <w:b/>
                <w:bCs/>
                <w:sz w:val="18"/>
                <w:szCs w:val="18"/>
                <w:lang w:val="es-ES"/>
              </w:rPr>
              <w:t>5.203.032.094</w:t>
            </w:r>
          </w:p>
        </w:tc>
      </w:tr>
    </w:tbl>
    <w:p w14:paraId="796B3859" w14:textId="0383D2D0" w:rsidR="00C711BC" w:rsidRPr="0068459B" w:rsidRDefault="0068459B" w:rsidP="001D30E0">
      <w:pPr>
        <w:spacing w:before="120" w:line="0" w:lineRule="atLeast"/>
        <w:rPr>
          <w:sz w:val="18"/>
          <w:szCs w:val="18"/>
          <w:lang w:val="es-ES"/>
        </w:rPr>
      </w:pPr>
      <w:r w:rsidRPr="00596A3A">
        <w:rPr>
          <w:color w:val="9D9A9D" w:themeColor="accent5"/>
          <w:sz w:val="18"/>
          <w:lang w:val="en-US"/>
        </w:rPr>
        <w:t>Fuente: European Structural and Investment Funds.</w:t>
      </w:r>
      <w:r>
        <w:rPr>
          <w:color w:val="9D9A9D" w:themeColor="accent5"/>
          <w:sz w:val="18"/>
          <w:lang w:val="en-US"/>
        </w:rPr>
        <w:t xml:space="preserve"> </w:t>
      </w:r>
      <w:r w:rsidRPr="00596A3A">
        <w:rPr>
          <w:color w:val="9D9A9D" w:themeColor="accent5"/>
          <w:sz w:val="18"/>
          <w:lang w:val="es-ES"/>
        </w:rPr>
        <w:t>Gobierno de la República de Croacia</w:t>
      </w:r>
      <w:r>
        <w:rPr>
          <w:color w:val="9D9A9D" w:themeColor="accent5"/>
          <w:sz w:val="18"/>
          <w:lang w:val="es-ES"/>
        </w:rPr>
        <w:t>.</w:t>
      </w:r>
      <w:r>
        <w:rPr>
          <w:rStyle w:val="Refdenotaalpie"/>
          <w:lang w:val="es-ES"/>
        </w:rPr>
        <w:footnoteReference w:id="32"/>
      </w:r>
    </w:p>
    <w:p w14:paraId="580B0AE7" w14:textId="6948AFE6" w:rsidR="00DE46CE" w:rsidRPr="00DE46CE" w:rsidRDefault="00496900" w:rsidP="00DE46CE">
      <w:pPr>
        <w:spacing w:before="240"/>
        <w:rPr>
          <w:color w:val="auto"/>
          <w:lang w:eastAsia="es-ES"/>
        </w:rPr>
      </w:pPr>
      <w:bookmarkStart w:id="38" w:name="_Hlk144576691"/>
      <w:r w:rsidRPr="00DE46CE">
        <w:rPr>
          <w:color w:val="auto"/>
          <w:lang w:eastAsia="es-ES"/>
        </w:rPr>
        <w:lastRenderedPageBreak/>
        <w:t xml:space="preserve">La </w:t>
      </w:r>
      <w:r w:rsidR="00DE46CE" w:rsidRPr="006471C1">
        <w:rPr>
          <w:b/>
          <w:bCs/>
          <w:color w:val="auto"/>
          <w:lang w:eastAsia="es-ES"/>
        </w:rPr>
        <w:t>p</w:t>
      </w:r>
      <w:r w:rsidRPr="006471C1">
        <w:rPr>
          <w:b/>
          <w:bCs/>
          <w:color w:val="auto"/>
          <w:lang w:eastAsia="es-ES"/>
        </w:rPr>
        <w:t xml:space="preserve">rioridad </w:t>
      </w:r>
      <w:r w:rsidR="006471C1" w:rsidRPr="006471C1">
        <w:rPr>
          <w:b/>
          <w:bCs/>
          <w:color w:val="auto"/>
          <w:lang w:eastAsia="es-ES"/>
        </w:rPr>
        <w:t xml:space="preserve">número </w:t>
      </w:r>
      <w:r w:rsidRPr="006471C1">
        <w:rPr>
          <w:b/>
          <w:bCs/>
          <w:color w:val="auto"/>
          <w:lang w:eastAsia="es-ES"/>
        </w:rPr>
        <w:t>3</w:t>
      </w:r>
      <w:r w:rsidR="00D37C60" w:rsidRPr="00D37C60">
        <w:rPr>
          <w:color w:val="auto"/>
          <w:lang w:eastAsia="es-ES"/>
        </w:rPr>
        <w:t>, dentro del objetivo Europa verde,</w:t>
      </w:r>
      <w:r w:rsidRPr="00D37C60">
        <w:rPr>
          <w:color w:val="auto"/>
          <w:lang w:eastAsia="es-ES"/>
        </w:rPr>
        <w:t xml:space="preserve"> </w:t>
      </w:r>
      <w:r w:rsidR="00DE46CE" w:rsidRPr="00D37C60">
        <w:rPr>
          <w:color w:val="auto"/>
          <w:lang w:eastAsia="es-ES"/>
        </w:rPr>
        <w:t xml:space="preserve">está </w:t>
      </w:r>
      <w:r w:rsidR="00DE46CE" w:rsidRPr="00DE46CE">
        <w:rPr>
          <w:color w:val="auto"/>
          <w:lang w:eastAsia="es-ES"/>
        </w:rPr>
        <w:t>dirigida</w:t>
      </w:r>
      <w:r w:rsidRPr="00DE46CE">
        <w:rPr>
          <w:color w:val="auto"/>
          <w:lang w:eastAsia="es-ES"/>
        </w:rPr>
        <w:t xml:space="preserve"> </w:t>
      </w:r>
      <w:r w:rsidR="00DE46CE" w:rsidRPr="00DE46CE">
        <w:rPr>
          <w:color w:val="auto"/>
          <w:lang w:eastAsia="es-ES"/>
        </w:rPr>
        <w:t>a</w:t>
      </w:r>
      <w:r w:rsidRPr="00DE46CE">
        <w:rPr>
          <w:color w:val="auto"/>
          <w:lang w:eastAsia="es-ES"/>
        </w:rPr>
        <w:t xml:space="preserve"> la promoción de la eficiencia energética y </w:t>
      </w:r>
      <w:r w:rsidR="00DE46CE" w:rsidRPr="00DE46CE">
        <w:rPr>
          <w:color w:val="auto"/>
          <w:lang w:eastAsia="es-ES"/>
        </w:rPr>
        <w:t>a</w:t>
      </w:r>
      <w:r w:rsidRPr="00DE46CE">
        <w:rPr>
          <w:color w:val="auto"/>
          <w:lang w:eastAsia="es-ES"/>
        </w:rPr>
        <w:t xml:space="preserve"> la adopción de fuentes de energía renovables. Además, aborda la adaptación al cambio climático, la prevención de riesgos, la protección del </w:t>
      </w:r>
      <w:r w:rsidR="00DE46CE" w:rsidRPr="00DE46CE">
        <w:rPr>
          <w:color w:val="auto"/>
          <w:lang w:eastAsia="es-ES"/>
        </w:rPr>
        <w:t>medioambiente</w:t>
      </w:r>
      <w:r w:rsidRPr="00DE46CE">
        <w:rPr>
          <w:color w:val="auto"/>
          <w:lang w:eastAsia="es-ES"/>
        </w:rPr>
        <w:t xml:space="preserve"> y la sostenibilidad de recursos naturales. Entre sus objetivos específicos, destaca la importancia de garantizar el acceso al agua y de implementar una gestión sostenible de los recursos hídricos. Para llevar a cabo estas iniciativas, se ha asignado un presupuesto de </w:t>
      </w:r>
      <w:r w:rsidRPr="006471C1">
        <w:rPr>
          <w:color w:val="auto"/>
          <w:u w:val="single"/>
          <w:lang w:eastAsia="es-ES"/>
        </w:rPr>
        <w:t>695 millones de euros</w:t>
      </w:r>
      <w:r w:rsidRPr="00DE46CE">
        <w:rPr>
          <w:color w:val="auto"/>
          <w:lang w:eastAsia="es-ES"/>
        </w:rPr>
        <w:t>, financiado íntegramente por el Fondo de Cohesión de la UE.</w:t>
      </w:r>
    </w:p>
    <w:p w14:paraId="63B86F23" w14:textId="496089AB" w:rsidR="0068459B" w:rsidRPr="00DE46CE" w:rsidRDefault="00DE46CE" w:rsidP="00DE46CE">
      <w:pPr>
        <w:spacing w:before="240"/>
        <w:rPr>
          <w:color w:val="auto"/>
          <w:lang w:eastAsia="es-ES"/>
        </w:rPr>
      </w:pPr>
      <w:r>
        <w:rPr>
          <w:color w:val="auto"/>
          <w:lang w:eastAsia="es-ES"/>
        </w:rPr>
        <w:t>En concreto, e</w:t>
      </w:r>
      <w:r w:rsidR="00C711BC" w:rsidRPr="00DE46CE">
        <w:rPr>
          <w:color w:val="auto"/>
          <w:lang w:eastAsia="es-ES"/>
        </w:rPr>
        <w:t>sta partida se destinará a</w:t>
      </w:r>
      <w:r w:rsidR="0068459B" w:rsidRPr="00DE46CE">
        <w:rPr>
          <w:color w:val="auto"/>
          <w:lang w:eastAsia="es-ES"/>
        </w:rPr>
        <w:t xml:space="preserve"> inversiones en:</w:t>
      </w:r>
    </w:p>
    <w:p w14:paraId="1C48DCFE" w14:textId="7130A0FD" w:rsidR="0068459B" w:rsidRPr="00DE46CE" w:rsidRDefault="0068459B" w:rsidP="00DE46CE">
      <w:pPr>
        <w:pStyle w:val="Prrafodelista"/>
        <w:numPr>
          <w:ilvl w:val="0"/>
          <w:numId w:val="34"/>
        </w:numPr>
        <w:spacing w:before="240"/>
        <w:rPr>
          <w:color w:val="auto"/>
          <w:lang w:eastAsia="es-ES"/>
        </w:rPr>
      </w:pPr>
      <w:r w:rsidRPr="00DE46CE">
        <w:rPr>
          <w:color w:val="auto"/>
          <w:lang w:eastAsia="es-ES"/>
        </w:rPr>
        <w:t>Tuberías</w:t>
      </w:r>
      <w:r w:rsidR="00DE46CE">
        <w:rPr>
          <w:color w:val="auto"/>
          <w:lang w:eastAsia="es-ES"/>
        </w:rPr>
        <w:t>,</w:t>
      </w:r>
      <w:r w:rsidRPr="00DE46CE">
        <w:rPr>
          <w:color w:val="auto"/>
          <w:lang w:eastAsia="es-ES"/>
        </w:rPr>
        <w:t xml:space="preserve"> nuevas o reconstruidas/rehabilitadas</w:t>
      </w:r>
      <w:r w:rsidR="00DE46CE">
        <w:rPr>
          <w:color w:val="auto"/>
          <w:lang w:eastAsia="es-ES"/>
        </w:rPr>
        <w:t>,</w:t>
      </w:r>
      <w:r w:rsidRPr="00DE46CE">
        <w:rPr>
          <w:color w:val="auto"/>
          <w:lang w:eastAsia="es-ES"/>
        </w:rPr>
        <w:t xml:space="preserve"> del sistema público de abastecimiento de agua.</w:t>
      </w:r>
    </w:p>
    <w:p w14:paraId="4B2E191A" w14:textId="178E4269" w:rsidR="0068459B" w:rsidRPr="00DE46CE" w:rsidRDefault="0068459B" w:rsidP="00DE46CE">
      <w:pPr>
        <w:pStyle w:val="Prrafodelista"/>
        <w:numPr>
          <w:ilvl w:val="0"/>
          <w:numId w:val="34"/>
        </w:numPr>
        <w:spacing w:before="240"/>
        <w:rPr>
          <w:color w:val="auto"/>
          <w:lang w:eastAsia="es-ES"/>
        </w:rPr>
      </w:pPr>
      <w:r w:rsidRPr="00DE46CE">
        <w:rPr>
          <w:color w:val="auto"/>
          <w:lang w:eastAsia="es-ES"/>
        </w:rPr>
        <w:t>Equipos para el acondicionamiento de agua para el consumo humano y equipo</w:t>
      </w:r>
      <w:r w:rsidR="00DE46CE">
        <w:rPr>
          <w:color w:val="auto"/>
          <w:lang w:eastAsia="es-ES"/>
        </w:rPr>
        <w:t>s</w:t>
      </w:r>
      <w:r w:rsidRPr="00DE46CE">
        <w:rPr>
          <w:color w:val="auto"/>
          <w:lang w:eastAsia="es-ES"/>
        </w:rPr>
        <w:t xml:space="preserve"> de desalinización.</w:t>
      </w:r>
    </w:p>
    <w:p w14:paraId="0C0AABFE" w14:textId="7475FBE4" w:rsidR="0068459B" w:rsidRPr="00DE46CE" w:rsidRDefault="0068459B" w:rsidP="00DE46CE">
      <w:pPr>
        <w:pStyle w:val="Prrafodelista"/>
        <w:numPr>
          <w:ilvl w:val="0"/>
          <w:numId w:val="34"/>
        </w:numPr>
        <w:spacing w:before="240"/>
        <w:rPr>
          <w:color w:val="auto"/>
          <w:lang w:eastAsia="es-ES"/>
        </w:rPr>
      </w:pPr>
      <w:r w:rsidRPr="00DE46CE">
        <w:rPr>
          <w:color w:val="auto"/>
          <w:lang w:eastAsia="es-ES"/>
        </w:rPr>
        <w:t>Nuevas o mejoradas plantas de tratamiento de aguas residuales, incluidas instalaciones para el tratamiento de lodos.</w:t>
      </w:r>
    </w:p>
    <w:p w14:paraId="6D4D548F" w14:textId="317162A9" w:rsidR="0068459B" w:rsidRPr="00DE46CE" w:rsidRDefault="0068459B" w:rsidP="00DE46CE">
      <w:pPr>
        <w:pStyle w:val="Prrafodelista"/>
        <w:numPr>
          <w:ilvl w:val="0"/>
          <w:numId w:val="34"/>
        </w:numPr>
        <w:spacing w:before="240"/>
        <w:rPr>
          <w:color w:val="auto"/>
          <w:lang w:eastAsia="es-ES"/>
        </w:rPr>
      </w:pPr>
      <w:r w:rsidRPr="00DE46CE">
        <w:rPr>
          <w:color w:val="auto"/>
          <w:lang w:eastAsia="es-ES"/>
        </w:rPr>
        <w:t>Tuberías</w:t>
      </w:r>
      <w:r w:rsidR="00DE46CE">
        <w:rPr>
          <w:color w:val="auto"/>
          <w:lang w:eastAsia="es-ES"/>
        </w:rPr>
        <w:t>,</w:t>
      </w:r>
      <w:r w:rsidRPr="00DE46CE">
        <w:rPr>
          <w:color w:val="auto"/>
          <w:lang w:eastAsia="es-ES"/>
        </w:rPr>
        <w:t xml:space="preserve"> nuevas o reconstruidas/rehabilitadas</w:t>
      </w:r>
      <w:r w:rsidR="00DE46CE">
        <w:rPr>
          <w:color w:val="auto"/>
          <w:lang w:eastAsia="es-ES"/>
        </w:rPr>
        <w:t>,</w:t>
      </w:r>
      <w:r w:rsidRPr="00DE46CE">
        <w:rPr>
          <w:color w:val="auto"/>
          <w:lang w:eastAsia="es-ES"/>
        </w:rPr>
        <w:t xml:space="preserve"> del sistema público de drenaje.</w:t>
      </w:r>
    </w:p>
    <w:p w14:paraId="129169EE" w14:textId="6B8C7FF5" w:rsidR="0068459B" w:rsidRPr="00DE46CE" w:rsidRDefault="0068459B" w:rsidP="00DE46CE">
      <w:pPr>
        <w:pStyle w:val="Prrafodelista"/>
        <w:numPr>
          <w:ilvl w:val="0"/>
          <w:numId w:val="34"/>
        </w:numPr>
        <w:spacing w:before="240"/>
        <w:rPr>
          <w:color w:val="auto"/>
          <w:lang w:eastAsia="es-ES"/>
        </w:rPr>
      </w:pPr>
      <w:r w:rsidRPr="00DE46CE">
        <w:rPr>
          <w:color w:val="auto"/>
          <w:lang w:eastAsia="es-ES"/>
        </w:rPr>
        <w:t>La implementación de medidas no infraestructurales que contribuyan a la mejora del manejo integral del agua.</w:t>
      </w:r>
    </w:p>
    <w:p w14:paraId="0815CF7F" w14:textId="27DD9CAE" w:rsidR="0068459B" w:rsidRPr="00DE46CE" w:rsidRDefault="0068459B" w:rsidP="00DE46CE">
      <w:pPr>
        <w:pStyle w:val="Prrafodelista"/>
        <w:numPr>
          <w:ilvl w:val="0"/>
          <w:numId w:val="34"/>
        </w:numPr>
        <w:spacing w:before="240"/>
        <w:rPr>
          <w:color w:val="auto"/>
          <w:lang w:eastAsia="es-ES"/>
        </w:rPr>
      </w:pPr>
      <w:r w:rsidRPr="00DE46CE">
        <w:rPr>
          <w:color w:val="auto"/>
          <w:lang w:eastAsia="es-ES"/>
        </w:rPr>
        <w:t>La reducción de pérdidas de agua en sistemas públicos de abastecimiento de agua.</w:t>
      </w:r>
    </w:p>
    <w:p w14:paraId="7BD08B69" w14:textId="7DB6693B" w:rsidR="0068459B" w:rsidRPr="00DE46CE" w:rsidRDefault="0068459B" w:rsidP="00DE46CE">
      <w:pPr>
        <w:pStyle w:val="Prrafodelista"/>
        <w:numPr>
          <w:ilvl w:val="0"/>
          <w:numId w:val="34"/>
        </w:numPr>
        <w:spacing w:before="240"/>
        <w:rPr>
          <w:color w:val="auto"/>
          <w:lang w:eastAsia="es-ES"/>
        </w:rPr>
      </w:pPr>
      <w:r w:rsidRPr="00DE46CE">
        <w:rPr>
          <w:color w:val="auto"/>
          <w:lang w:eastAsia="es-ES"/>
        </w:rPr>
        <w:t>Medidas que contribuyan a reducir riesgos e incrementar la seguridad del agua destinada al consumo humano en el sistema público de abastecimiento de agua.</w:t>
      </w:r>
    </w:p>
    <w:p w14:paraId="259E2D87" w14:textId="02EB14B1" w:rsidR="003F033D" w:rsidRPr="003C274E" w:rsidRDefault="0068459B" w:rsidP="00C41755">
      <w:pPr>
        <w:pStyle w:val="Prrafodelista"/>
        <w:numPr>
          <w:ilvl w:val="0"/>
          <w:numId w:val="34"/>
        </w:numPr>
        <w:spacing w:before="240"/>
        <w:rPr>
          <w:color w:val="auto"/>
          <w:lang w:eastAsia="es-ES"/>
        </w:rPr>
      </w:pPr>
      <w:r w:rsidRPr="00DE46CE">
        <w:rPr>
          <w:color w:val="auto"/>
          <w:lang w:eastAsia="es-ES"/>
        </w:rPr>
        <w:t>La provisión de fuentes alternativas de abastecimiento de agua para asentamientos grandes y la posibilidad de conectar sistemas para garantizar la fiabilidad del suministro de agua.</w:t>
      </w:r>
      <w:bookmarkEnd w:id="38"/>
    </w:p>
    <w:p w14:paraId="7F1A531D" w14:textId="7F9A536F" w:rsidR="0099072F" w:rsidRDefault="003F033D" w:rsidP="00C41755">
      <w:pPr>
        <w:rPr>
          <w:color w:val="auto"/>
          <w:lang w:val="es-ES" w:eastAsia="es-ES"/>
        </w:rPr>
      </w:pPr>
      <w:r w:rsidRPr="00BE1B58">
        <w:rPr>
          <w:bCs/>
          <w:color w:val="auto"/>
        </w:rPr>
        <w:t xml:space="preserve">En febrero de 2023, el </w:t>
      </w:r>
      <w:r w:rsidR="00A15A31">
        <w:rPr>
          <w:bCs/>
          <w:color w:val="auto"/>
        </w:rPr>
        <w:t>G</w:t>
      </w:r>
      <w:r w:rsidRPr="00BE1B58">
        <w:rPr>
          <w:bCs/>
          <w:color w:val="auto"/>
        </w:rPr>
        <w:t>obierno</w:t>
      </w:r>
      <w:r w:rsidR="003469C0">
        <w:rPr>
          <w:bCs/>
          <w:color w:val="auto"/>
        </w:rPr>
        <w:t xml:space="preserve"> croata</w:t>
      </w:r>
      <w:r w:rsidRPr="00BE1B58">
        <w:rPr>
          <w:bCs/>
          <w:color w:val="auto"/>
        </w:rPr>
        <w:t xml:space="preserve"> aprobó el </w:t>
      </w:r>
      <w:r w:rsidRPr="007348B9">
        <w:rPr>
          <w:b/>
          <w:color w:val="auto"/>
        </w:rPr>
        <w:t>Plan Estratégico para la Política Agraria Común 2023- 2027</w:t>
      </w:r>
      <w:r w:rsidR="004712D9">
        <w:rPr>
          <w:bCs/>
          <w:color w:val="auto"/>
        </w:rPr>
        <w:t xml:space="preserve">, </w:t>
      </w:r>
      <w:r w:rsidR="00847A33">
        <w:rPr>
          <w:bCs/>
          <w:color w:val="auto"/>
        </w:rPr>
        <w:t xml:space="preserve">cofinanciado entre la UE y el Gobierno croata y </w:t>
      </w:r>
      <w:r w:rsidR="004712D9">
        <w:rPr>
          <w:bCs/>
          <w:color w:val="auto"/>
        </w:rPr>
        <w:t xml:space="preserve">dotado con </w:t>
      </w:r>
      <w:r w:rsidR="00847A33">
        <w:rPr>
          <w:bCs/>
          <w:color w:val="auto"/>
        </w:rPr>
        <w:t xml:space="preserve">un valor de </w:t>
      </w:r>
      <w:r w:rsidR="004712D9">
        <w:rPr>
          <w:bCs/>
          <w:color w:val="auto"/>
        </w:rPr>
        <w:t>3.746 millones de euros.</w:t>
      </w:r>
      <w:r w:rsidR="00650C04">
        <w:rPr>
          <w:rStyle w:val="Refdenotaalpie"/>
          <w:bCs/>
        </w:rPr>
        <w:footnoteReference w:id="33"/>
      </w:r>
      <w:r w:rsidR="004712D9">
        <w:rPr>
          <w:bCs/>
          <w:color w:val="auto"/>
        </w:rPr>
        <w:t xml:space="preserve"> </w:t>
      </w:r>
      <w:r w:rsidR="003469C0">
        <w:rPr>
          <w:bCs/>
          <w:color w:val="auto"/>
        </w:rPr>
        <w:t xml:space="preserve">Este plan se distribuye en </w:t>
      </w:r>
      <w:r w:rsidR="003469C0" w:rsidRPr="00650C04">
        <w:rPr>
          <w:b/>
          <w:color w:val="auto"/>
        </w:rPr>
        <w:t>10 objetivos</w:t>
      </w:r>
      <w:r w:rsidR="003469C0">
        <w:rPr>
          <w:bCs/>
          <w:color w:val="auto"/>
        </w:rPr>
        <w:t xml:space="preserve">. De estos, el </w:t>
      </w:r>
      <w:r w:rsidR="003469C0" w:rsidRPr="00650C04">
        <w:rPr>
          <w:bCs/>
          <w:color w:val="auto"/>
          <w:u w:val="single"/>
        </w:rPr>
        <w:t>quinto objetivo</w:t>
      </w:r>
      <w:r w:rsidR="003469C0">
        <w:rPr>
          <w:bCs/>
          <w:color w:val="auto"/>
        </w:rPr>
        <w:t xml:space="preserve"> se centra en la protección de </w:t>
      </w:r>
      <w:r w:rsidR="004712D9">
        <w:rPr>
          <w:bCs/>
          <w:color w:val="auto"/>
        </w:rPr>
        <w:t xml:space="preserve">los </w:t>
      </w:r>
      <w:r w:rsidR="003469C0">
        <w:rPr>
          <w:bCs/>
          <w:color w:val="auto"/>
        </w:rPr>
        <w:t>recursos naturales</w:t>
      </w:r>
      <w:r w:rsidR="004712D9">
        <w:rPr>
          <w:bCs/>
          <w:color w:val="auto"/>
        </w:rPr>
        <w:t>, y abarca aspectos como</w:t>
      </w:r>
      <w:r w:rsidR="003469C0">
        <w:rPr>
          <w:bCs/>
          <w:color w:val="auto"/>
        </w:rPr>
        <w:t xml:space="preserve"> la </w:t>
      </w:r>
      <w:r w:rsidR="003469C0" w:rsidRPr="00650C04">
        <w:rPr>
          <w:bCs/>
          <w:color w:val="auto"/>
          <w:u w:val="single"/>
        </w:rPr>
        <w:t xml:space="preserve">calidad </w:t>
      </w:r>
      <w:r w:rsidR="004712D9" w:rsidRPr="00650C04">
        <w:rPr>
          <w:bCs/>
          <w:color w:val="auto"/>
          <w:u w:val="single"/>
        </w:rPr>
        <w:t>del agua y su extracción</w:t>
      </w:r>
      <w:r w:rsidR="004712D9">
        <w:rPr>
          <w:bCs/>
          <w:color w:val="auto"/>
        </w:rPr>
        <w:t>.</w:t>
      </w:r>
      <w:r w:rsidR="00650C04">
        <w:rPr>
          <w:rStyle w:val="Refdenotaalpie"/>
          <w:bCs/>
        </w:rPr>
        <w:footnoteReference w:id="34"/>
      </w:r>
    </w:p>
    <w:p w14:paraId="792025F1" w14:textId="2D1DD76C" w:rsidR="002B1A60" w:rsidRDefault="003F033D" w:rsidP="00C02DD7">
      <w:pPr>
        <w:rPr>
          <w:bCs/>
          <w:color w:val="auto"/>
        </w:rPr>
      </w:pPr>
      <w:r w:rsidRPr="00B46777">
        <w:rPr>
          <w:bCs/>
          <w:color w:val="auto"/>
        </w:rPr>
        <w:t xml:space="preserve">Asimismo, </w:t>
      </w:r>
      <w:r w:rsidR="003140C2" w:rsidRPr="00B46777">
        <w:rPr>
          <w:bCs/>
          <w:color w:val="auto"/>
        </w:rPr>
        <w:t xml:space="preserve">el </w:t>
      </w:r>
      <w:r w:rsidR="003140C2" w:rsidRPr="00A15A31">
        <w:rPr>
          <w:b/>
          <w:color w:val="auto"/>
        </w:rPr>
        <w:t>Plan Nacional de Recuperación y Resiliencia 2021-2027</w:t>
      </w:r>
      <w:r w:rsidR="003140C2">
        <w:rPr>
          <w:b/>
          <w:color w:val="auto"/>
        </w:rPr>
        <w:t xml:space="preserve"> </w:t>
      </w:r>
      <w:r w:rsidR="003140C2">
        <w:rPr>
          <w:bCs/>
          <w:color w:val="auto"/>
        </w:rPr>
        <w:t>del Gobierno croata</w:t>
      </w:r>
      <w:r w:rsidR="00FC71D7">
        <w:rPr>
          <w:bCs/>
          <w:color w:val="auto"/>
        </w:rPr>
        <w:t xml:space="preserve">, </w:t>
      </w:r>
      <w:r w:rsidR="00FC71D7" w:rsidRPr="00FC71D7">
        <w:rPr>
          <w:bCs/>
          <w:color w:val="auto"/>
        </w:rPr>
        <w:t>validado por la Comisión Europea en julio de 2021</w:t>
      </w:r>
      <w:r w:rsidR="00FC71D7">
        <w:rPr>
          <w:bCs/>
          <w:color w:val="auto"/>
        </w:rPr>
        <w:t>,</w:t>
      </w:r>
      <w:r w:rsidR="003140C2">
        <w:rPr>
          <w:bCs/>
          <w:color w:val="auto"/>
        </w:rPr>
        <w:t xml:space="preserve"> dispone de </w:t>
      </w:r>
      <w:r w:rsidRPr="00B46777">
        <w:rPr>
          <w:bCs/>
          <w:color w:val="auto"/>
        </w:rPr>
        <w:t xml:space="preserve">fondos europeos </w:t>
      </w:r>
      <w:r w:rsidR="00A15A31" w:rsidRPr="00B46777">
        <w:rPr>
          <w:bCs/>
          <w:color w:val="auto"/>
        </w:rPr>
        <w:t xml:space="preserve">por valor de </w:t>
      </w:r>
      <w:r w:rsidR="003140C2">
        <w:rPr>
          <w:bCs/>
          <w:color w:val="auto"/>
        </w:rPr>
        <w:t>5.510</w:t>
      </w:r>
      <w:r w:rsidR="00A15A31" w:rsidRPr="00B46777">
        <w:rPr>
          <w:bCs/>
          <w:color w:val="auto"/>
        </w:rPr>
        <w:t xml:space="preserve"> millones de euros </w:t>
      </w:r>
      <w:r w:rsidRPr="00B46777">
        <w:rPr>
          <w:bCs/>
          <w:color w:val="auto"/>
        </w:rPr>
        <w:t>para implementar</w:t>
      </w:r>
      <w:r w:rsidR="00A15A31">
        <w:rPr>
          <w:bCs/>
          <w:color w:val="auto"/>
        </w:rPr>
        <w:t xml:space="preserve">. </w:t>
      </w:r>
      <w:r w:rsidR="00423379">
        <w:rPr>
          <w:bCs/>
          <w:color w:val="auto"/>
        </w:rPr>
        <w:t xml:space="preserve">Con este plan, se pretenden implementar </w:t>
      </w:r>
      <w:r w:rsidR="00423379" w:rsidRPr="00423379">
        <w:rPr>
          <w:b/>
          <w:color w:val="auto"/>
        </w:rPr>
        <w:t>medidas clave</w:t>
      </w:r>
      <w:r w:rsidR="00423379">
        <w:rPr>
          <w:bCs/>
          <w:color w:val="auto"/>
        </w:rPr>
        <w:t xml:space="preserve"> para abordar la transición verde, la transición digital y la resiliencia económica y social. </w:t>
      </w:r>
      <w:r w:rsidR="00A15A31">
        <w:rPr>
          <w:bCs/>
          <w:color w:val="auto"/>
        </w:rPr>
        <w:t>Del total de fondos,</w:t>
      </w:r>
      <w:r w:rsidRPr="00B46777">
        <w:rPr>
          <w:bCs/>
          <w:color w:val="auto"/>
        </w:rPr>
        <w:t xml:space="preserve"> </w:t>
      </w:r>
      <w:r w:rsidRPr="00A15A31">
        <w:rPr>
          <w:b/>
          <w:color w:val="auto"/>
        </w:rPr>
        <w:t>8</w:t>
      </w:r>
      <w:r w:rsidR="002B1A60">
        <w:rPr>
          <w:b/>
          <w:color w:val="auto"/>
        </w:rPr>
        <w:t>44</w:t>
      </w:r>
      <w:r w:rsidRPr="00A15A31">
        <w:rPr>
          <w:b/>
          <w:color w:val="auto"/>
        </w:rPr>
        <w:t xml:space="preserve"> millones de euros</w:t>
      </w:r>
      <w:r w:rsidRPr="00B46777">
        <w:rPr>
          <w:bCs/>
          <w:color w:val="auto"/>
        </w:rPr>
        <w:t xml:space="preserve"> est</w:t>
      </w:r>
      <w:r w:rsidR="003C274E">
        <w:rPr>
          <w:bCs/>
          <w:color w:val="auto"/>
        </w:rPr>
        <w:t>án</w:t>
      </w:r>
      <w:r w:rsidRPr="00B46777">
        <w:rPr>
          <w:bCs/>
          <w:color w:val="auto"/>
        </w:rPr>
        <w:t xml:space="preserve"> destinados exclusivamente </w:t>
      </w:r>
      <w:r w:rsidR="002B1A60">
        <w:rPr>
          <w:bCs/>
          <w:color w:val="auto"/>
        </w:rPr>
        <w:t xml:space="preserve">a financiar proyectos de agua y alcantarillado. </w:t>
      </w:r>
      <w:r w:rsidR="002B1A60" w:rsidRPr="002B1A60">
        <w:rPr>
          <w:bCs/>
          <w:color w:val="auto"/>
        </w:rPr>
        <w:t xml:space="preserve">Las inversiones programadas tienen como objetivo primordial la conservación de los </w:t>
      </w:r>
      <w:r w:rsidR="002B1A60" w:rsidRPr="002B1A60">
        <w:rPr>
          <w:bCs/>
          <w:color w:val="auto"/>
        </w:rPr>
        <w:lastRenderedPageBreak/>
        <w:t>recursos hídricos y asegurar el acceso universal al agua potable, poniendo un énfasis particular en zonas rurales, montañosas y con vulnerabilidad demográfica.</w:t>
      </w:r>
    </w:p>
    <w:p w14:paraId="2A1AD812" w14:textId="786B09A9" w:rsidR="009F24F2" w:rsidRDefault="002B1A60" w:rsidP="00C02DD7">
      <w:pPr>
        <w:rPr>
          <w:bCs/>
          <w:color w:val="auto"/>
        </w:rPr>
      </w:pPr>
      <w:r w:rsidRPr="002B1A60">
        <w:rPr>
          <w:bCs/>
          <w:color w:val="auto"/>
        </w:rPr>
        <w:t>En relación con los sistemas públicos de abastecimiento de agua, las innovaciones deben operar con un consumo energético que no supere los 0,5 kWh por metro cúbico y un Índice de Pérdida de Infraestructura (ILI) menor o igual a 1,5. Si se trata de renovaciones de estos sistemas, es esencial que logren una reducción del consumo energético superior al 20</w:t>
      </w:r>
      <w:r w:rsidR="000C2084">
        <w:rPr>
          <w:bCs/>
          <w:color w:val="auto"/>
        </w:rPr>
        <w:t xml:space="preserve"> </w:t>
      </w:r>
      <w:r w:rsidRPr="002B1A60">
        <w:rPr>
          <w:bCs/>
          <w:color w:val="auto"/>
        </w:rPr>
        <w:t xml:space="preserve">% y disminuyan las pérdidas en más </w:t>
      </w:r>
      <w:r w:rsidRPr="000C2084">
        <w:rPr>
          <w:bCs/>
          <w:color w:val="auto"/>
        </w:rPr>
        <w:t>del 25</w:t>
      </w:r>
      <w:r w:rsidR="000C2084">
        <w:rPr>
          <w:bCs/>
          <w:color w:val="auto"/>
        </w:rPr>
        <w:t xml:space="preserve"> </w:t>
      </w:r>
      <w:r w:rsidRPr="000C2084">
        <w:rPr>
          <w:bCs/>
          <w:color w:val="auto"/>
        </w:rPr>
        <w:t>%.</w:t>
      </w:r>
      <w:r w:rsidRPr="002B1A60">
        <w:rPr>
          <w:bCs/>
          <w:color w:val="auto"/>
        </w:rPr>
        <w:t xml:space="preserve"> Por otro lado, si las inversiones están dirigidas a sistemas públicos de drenaje y tratamiento de aguas residuales, es imperativo que ofrezcan un nivel adecuado de tratamiento conforme a la Directiva sobre Tratamiento de Aguas Residuales Urbanas. </w:t>
      </w:r>
      <w:r w:rsidRPr="0098784D">
        <w:rPr>
          <w:bCs/>
          <w:color w:val="auto"/>
          <w:u w:val="single"/>
        </w:rPr>
        <w:t>Es crucial que las inversiones se concluyan antes del 30 de junio de 2026 y que todos los trabajos estén finalizados a más tardar el 31 de diciembre de 2025</w:t>
      </w:r>
      <w:r w:rsidRPr="002B1A60">
        <w:rPr>
          <w:bCs/>
          <w:color w:val="auto"/>
        </w:rPr>
        <w:t>.</w:t>
      </w:r>
    </w:p>
    <w:p w14:paraId="67171E0C" w14:textId="214E7C40" w:rsidR="00F10709" w:rsidRDefault="002B1A60" w:rsidP="002B1A60">
      <w:pPr>
        <w:rPr>
          <w:bCs/>
          <w:color w:val="auto"/>
        </w:rPr>
      </w:pPr>
      <w:r w:rsidRPr="002B1A60">
        <w:rPr>
          <w:bCs/>
          <w:color w:val="auto"/>
        </w:rPr>
        <w:t xml:space="preserve">Hasta la fecha, </w:t>
      </w:r>
      <w:r>
        <w:rPr>
          <w:bCs/>
          <w:color w:val="auto"/>
        </w:rPr>
        <w:t>dentro</w:t>
      </w:r>
      <w:r w:rsidRPr="002B1A60">
        <w:rPr>
          <w:bCs/>
          <w:color w:val="auto"/>
        </w:rPr>
        <w:t xml:space="preserve"> del Plan Nacional de Recuperación y Resiliencia 2021-2027, </w:t>
      </w:r>
      <w:r w:rsidR="00266C35" w:rsidRPr="00266C35">
        <w:rPr>
          <w:bCs/>
          <w:color w:val="auto"/>
        </w:rPr>
        <w:t>se ha finalizado una convocatoria destinada a financiar la ejecución de proyectos que aborden componentes más específicos de los sistemas públicos de abastecimiento de agua y tratamiento de aguas residuales</w:t>
      </w:r>
      <w:r w:rsidRPr="002B1A60">
        <w:rPr>
          <w:bCs/>
          <w:color w:val="auto"/>
        </w:rPr>
        <w:t>.</w:t>
      </w:r>
      <w:r w:rsidR="00266C35">
        <w:rPr>
          <w:bCs/>
          <w:color w:val="auto"/>
        </w:rPr>
        <w:t xml:space="preserve"> </w:t>
      </w:r>
      <w:r w:rsidRPr="002B1A60">
        <w:rPr>
          <w:bCs/>
          <w:color w:val="auto"/>
        </w:rPr>
        <w:t>En el marco de esta convocatoria, se han aprobado un total de 73 contratos y se han otorgado 93,8 millones de euros en subvenciones de la UE.</w:t>
      </w:r>
      <w:r w:rsidR="00F10709">
        <w:rPr>
          <w:rStyle w:val="Refdenotaalpie"/>
          <w:bCs/>
        </w:rPr>
        <w:footnoteReference w:id="35"/>
      </w:r>
    </w:p>
    <w:p w14:paraId="6370806C" w14:textId="6580F483" w:rsidR="002B1A60" w:rsidRDefault="00F10709" w:rsidP="002B1A60">
      <w:pPr>
        <w:rPr>
          <w:bCs/>
          <w:color w:val="auto"/>
        </w:rPr>
      </w:pPr>
      <w:r>
        <w:rPr>
          <w:bCs/>
          <w:color w:val="auto"/>
        </w:rPr>
        <w:t>A</w:t>
      </w:r>
      <w:r w:rsidR="0098784D">
        <w:rPr>
          <w:bCs/>
          <w:color w:val="auto"/>
        </w:rPr>
        <w:t>demás</w:t>
      </w:r>
      <w:r>
        <w:rPr>
          <w:bCs/>
          <w:color w:val="auto"/>
        </w:rPr>
        <w:t>, a</w:t>
      </w:r>
      <w:r w:rsidRPr="00F10709">
        <w:rPr>
          <w:bCs/>
          <w:color w:val="auto"/>
        </w:rPr>
        <w:t xml:space="preserve">ctualmente, hay </w:t>
      </w:r>
      <w:r>
        <w:rPr>
          <w:bCs/>
          <w:color w:val="auto"/>
        </w:rPr>
        <w:t>otra</w:t>
      </w:r>
      <w:r w:rsidRPr="00F10709">
        <w:rPr>
          <w:bCs/>
          <w:color w:val="auto"/>
        </w:rPr>
        <w:t xml:space="preserve"> convocatoria </w:t>
      </w:r>
      <w:r w:rsidR="0098784D">
        <w:rPr>
          <w:bCs/>
          <w:color w:val="auto"/>
        </w:rPr>
        <w:t>abierta</w:t>
      </w:r>
      <w:r w:rsidRPr="00F10709">
        <w:rPr>
          <w:bCs/>
          <w:color w:val="auto"/>
        </w:rPr>
        <w:t xml:space="preserve"> destinada a financiar proyectos enfocados en componentes específicos de los sistemas públicos de abastecimiento de agua y tratamiento de aguas residuales. </w:t>
      </w:r>
      <w:r>
        <w:rPr>
          <w:bCs/>
          <w:color w:val="auto"/>
        </w:rPr>
        <w:t>Por el momento, se</w:t>
      </w:r>
      <w:r w:rsidRPr="00F10709">
        <w:rPr>
          <w:bCs/>
          <w:color w:val="auto"/>
        </w:rPr>
        <w:t xml:space="preserve"> han concedido ya 66 subvenciones, sumando un total de 319,9 millones de euros provenientes de fondos de la UE</w:t>
      </w:r>
      <w:r>
        <w:rPr>
          <w:bCs/>
          <w:color w:val="auto"/>
        </w:rPr>
        <w:t>, y l</w:t>
      </w:r>
      <w:r w:rsidRPr="00F10709">
        <w:rPr>
          <w:bCs/>
          <w:color w:val="auto"/>
        </w:rPr>
        <w:t>a convocatoria permanecerá abierta hasta que se agoten todos los recursos disponibles.</w:t>
      </w:r>
    </w:p>
    <w:p w14:paraId="60B3FD35" w14:textId="34F9EFBB" w:rsidR="004E3BCC" w:rsidRDefault="00F10709" w:rsidP="004E3BCC">
      <w:pPr>
        <w:rPr>
          <w:lang w:val="es-ES" w:eastAsia="es-ES"/>
        </w:rPr>
      </w:pPr>
      <w:r>
        <w:rPr>
          <w:bCs/>
          <w:color w:val="auto"/>
        </w:rPr>
        <w:t xml:space="preserve">Por otro lado, </w:t>
      </w:r>
      <w:r w:rsidR="00BA4D4F">
        <w:rPr>
          <w:bCs/>
          <w:color w:val="auto"/>
        </w:rPr>
        <w:t xml:space="preserve">también </w:t>
      </w:r>
      <w:r w:rsidR="00BA4D4F" w:rsidRPr="00BA4D4F">
        <w:rPr>
          <w:bCs/>
          <w:color w:val="auto"/>
        </w:rPr>
        <w:t>se encuentra activa una convocatoria para financiar grandes proyectos</w:t>
      </w:r>
      <w:r w:rsidR="0098784D">
        <w:rPr>
          <w:bCs/>
          <w:color w:val="auto"/>
        </w:rPr>
        <w:t xml:space="preserve"> </w:t>
      </w:r>
      <w:r w:rsidR="00BA4D4F" w:rsidRPr="00BA4D4F">
        <w:rPr>
          <w:bCs/>
          <w:color w:val="auto"/>
        </w:rPr>
        <w:t xml:space="preserve">dirigidos a mejorar la infraestructura de agua y saneamiento en </w:t>
      </w:r>
      <w:r w:rsidR="00BA4D4F">
        <w:rPr>
          <w:bCs/>
          <w:color w:val="auto"/>
        </w:rPr>
        <w:t>áreas</w:t>
      </w:r>
      <w:r w:rsidR="00BA4D4F" w:rsidRPr="00BA4D4F">
        <w:rPr>
          <w:bCs/>
          <w:color w:val="auto"/>
        </w:rPr>
        <w:t xml:space="preserve"> urban</w:t>
      </w:r>
      <w:r w:rsidR="00BA4D4F">
        <w:rPr>
          <w:bCs/>
          <w:color w:val="auto"/>
        </w:rPr>
        <w:t>a</w:t>
      </w:r>
      <w:r w:rsidR="00BA4D4F" w:rsidRPr="00BA4D4F">
        <w:rPr>
          <w:bCs/>
          <w:color w:val="auto"/>
        </w:rPr>
        <w:t>s. Bajo esta convocatoria, se tiene previsto aprobar un total de 13 proyectos. De estos, 11 provienen de fondos previamente asignados por el Programa de Competitividad y Cohesión 2014 – 2020</w:t>
      </w:r>
      <w:r w:rsidR="00BA4D4F">
        <w:rPr>
          <w:bCs/>
          <w:color w:val="auto"/>
        </w:rPr>
        <w:t>.</w:t>
      </w:r>
      <w:r w:rsidR="00BA4D4F" w:rsidRPr="00BA4D4F">
        <w:rPr>
          <w:bCs/>
          <w:color w:val="auto"/>
        </w:rPr>
        <w:t xml:space="preserve"> </w:t>
      </w:r>
      <w:r w:rsidR="00BA4D4F">
        <w:rPr>
          <w:bCs/>
          <w:color w:val="auto"/>
        </w:rPr>
        <w:t>De</w:t>
      </w:r>
      <w:r w:rsidR="00BA4D4F" w:rsidRPr="00BA4D4F">
        <w:rPr>
          <w:bCs/>
          <w:color w:val="auto"/>
        </w:rPr>
        <w:t xml:space="preserve"> este grupo, hasta el momento solo el proyecto </w:t>
      </w:r>
      <w:r w:rsidR="00BA4D4F">
        <w:rPr>
          <w:bCs/>
          <w:color w:val="auto"/>
        </w:rPr>
        <w:t>“</w:t>
      </w:r>
      <w:r w:rsidR="00BA4D4F" w:rsidRPr="00BA4D4F">
        <w:rPr>
          <w:bCs/>
          <w:color w:val="auto"/>
        </w:rPr>
        <w:t>Pula Norte</w:t>
      </w:r>
      <w:r w:rsidR="00BA4D4F">
        <w:rPr>
          <w:bCs/>
          <w:color w:val="auto"/>
        </w:rPr>
        <w:t>”</w:t>
      </w:r>
      <w:r w:rsidR="00BA4D4F" w:rsidRPr="00BA4D4F">
        <w:rPr>
          <w:bCs/>
          <w:color w:val="auto"/>
        </w:rPr>
        <w:t xml:space="preserve"> ha sido aprobado, recibiendo un financiamiento de 33,1 millones de euros.</w:t>
      </w:r>
      <w:r w:rsidR="004E3BCC" w:rsidRPr="004E3BCC">
        <w:rPr>
          <w:bCs/>
          <w:color w:val="auto"/>
          <w:lang w:val="es-ES"/>
        </w:rPr>
        <w:t xml:space="preserve"> </w:t>
      </w:r>
      <w:r w:rsidR="004E3BCC" w:rsidRPr="00306D5E">
        <w:rPr>
          <w:bCs/>
          <w:color w:val="auto"/>
          <w:lang w:val="es-ES"/>
        </w:rPr>
        <w:t>Las empresas</w:t>
      </w:r>
      <w:r w:rsidR="004E3BCC">
        <w:rPr>
          <w:rStyle w:val="Refdenotaalpie"/>
          <w:bCs/>
          <w:lang w:val="es-ES"/>
        </w:rPr>
        <w:footnoteReference w:id="36"/>
      </w:r>
      <w:r w:rsidR="004E3BCC" w:rsidRPr="00306D5E">
        <w:rPr>
          <w:bCs/>
          <w:color w:val="auto"/>
          <w:lang w:val="es-ES"/>
        </w:rPr>
        <w:t xml:space="preserve"> preseleccionadas para esta oportunidad </w:t>
      </w:r>
      <w:r w:rsidR="004E3BCC">
        <w:rPr>
          <w:bCs/>
          <w:color w:val="auto"/>
          <w:lang w:val="es-ES"/>
        </w:rPr>
        <w:t>han sido</w:t>
      </w:r>
      <w:r w:rsidR="004E3BCC" w:rsidRPr="00306D5E">
        <w:rPr>
          <w:bCs/>
          <w:color w:val="auto"/>
          <w:lang w:val="es-ES"/>
        </w:rPr>
        <w:t xml:space="preserve"> las siguientes:</w:t>
      </w:r>
      <w:r w:rsidR="004E3BCC">
        <w:rPr>
          <w:rStyle w:val="Refdenotaalpie"/>
          <w:bCs/>
        </w:rPr>
        <w:footnoteReference w:id="37"/>
      </w:r>
    </w:p>
    <w:p w14:paraId="7405C3AD" w14:textId="77777777" w:rsidR="004E3BCC" w:rsidRDefault="004E3BCC" w:rsidP="004E3BCC">
      <w:pPr>
        <w:pStyle w:val="Prrafodelista"/>
        <w:numPr>
          <w:ilvl w:val="0"/>
          <w:numId w:val="27"/>
        </w:numPr>
        <w:rPr>
          <w:bCs/>
          <w:color w:val="auto"/>
          <w:lang w:val="es-ES"/>
        </w:rPr>
      </w:pPr>
      <w:proofErr w:type="spellStart"/>
      <w:r w:rsidRPr="009F24F2">
        <w:rPr>
          <w:bCs/>
          <w:color w:val="auto"/>
          <w:lang w:val="es-ES"/>
        </w:rPr>
        <w:t>Vodoopskrba</w:t>
      </w:r>
      <w:proofErr w:type="spellEnd"/>
      <w:r w:rsidRPr="009F24F2">
        <w:rPr>
          <w:bCs/>
          <w:color w:val="auto"/>
          <w:lang w:val="es-ES"/>
        </w:rPr>
        <w:t xml:space="preserve"> i </w:t>
      </w:r>
      <w:proofErr w:type="spellStart"/>
      <w:r w:rsidRPr="009F24F2">
        <w:rPr>
          <w:bCs/>
          <w:color w:val="auto"/>
          <w:lang w:val="es-ES"/>
        </w:rPr>
        <w:t>odvodnja</w:t>
      </w:r>
      <w:proofErr w:type="spellEnd"/>
      <w:r w:rsidRPr="009F24F2">
        <w:rPr>
          <w:bCs/>
          <w:color w:val="auto"/>
          <w:lang w:val="es-ES"/>
        </w:rPr>
        <w:t xml:space="preserve"> Cres </w:t>
      </w:r>
      <w:proofErr w:type="spellStart"/>
      <w:r w:rsidRPr="009F24F2">
        <w:rPr>
          <w:bCs/>
          <w:color w:val="auto"/>
          <w:lang w:val="es-ES"/>
        </w:rPr>
        <w:t>Lošinj</w:t>
      </w:r>
      <w:proofErr w:type="spellEnd"/>
      <w:r w:rsidRPr="009F24F2">
        <w:rPr>
          <w:bCs/>
          <w:color w:val="auto"/>
          <w:lang w:val="es-ES"/>
        </w:rPr>
        <w:t xml:space="preserve"> </w:t>
      </w:r>
      <w:proofErr w:type="spellStart"/>
      <w:r w:rsidRPr="009F24F2">
        <w:rPr>
          <w:bCs/>
          <w:color w:val="auto"/>
          <w:lang w:val="es-ES"/>
        </w:rPr>
        <w:t>d.o.o</w:t>
      </w:r>
      <w:proofErr w:type="spellEnd"/>
      <w:r w:rsidRPr="009F24F2">
        <w:rPr>
          <w:bCs/>
          <w:color w:val="auto"/>
          <w:lang w:val="es-ES"/>
        </w:rPr>
        <w:t>.</w:t>
      </w:r>
      <w:r>
        <w:rPr>
          <w:bCs/>
          <w:color w:val="auto"/>
          <w:lang w:val="es-ES"/>
        </w:rPr>
        <w:t>, ubicada en Cres.</w:t>
      </w:r>
    </w:p>
    <w:p w14:paraId="1C30B37E" w14:textId="77777777" w:rsidR="004E3BCC" w:rsidRDefault="004E3BCC" w:rsidP="004E3BCC">
      <w:pPr>
        <w:pStyle w:val="Prrafodelista"/>
        <w:numPr>
          <w:ilvl w:val="0"/>
          <w:numId w:val="27"/>
        </w:numPr>
        <w:rPr>
          <w:bCs/>
          <w:color w:val="auto"/>
          <w:lang w:val="es-ES"/>
        </w:rPr>
      </w:pPr>
      <w:r w:rsidRPr="009F24F2">
        <w:rPr>
          <w:bCs/>
          <w:color w:val="auto"/>
          <w:lang w:val="es-ES"/>
        </w:rPr>
        <w:t>Baranjski vodovod d.o.o.</w:t>
      </w:r>
      <w:r>
        <w:rPr>
          <w:bCs/>
          <w:color w:val="auto"/>
          <w:lang w:val="es-ES"/>
        </w:rPr>
        <w:t xml:space="preserve">, ubicada en </w:t>
      </w:r>
      <w:r w:rsidRPr="009F24F2">
        <w:rPr>
          <w:bCs/>
          <w:color w:val="auto"/>
          <w:lang w:val="es-ES"/>
        </w:rPr>
        <w:t>Beli Manastir</w:t>
      </w:r>
      <w:r>
        <w:rPr>
          <w:bCs/>
          <w:color w:val="auto"/>
          <w:lang w:val="es-ES"/>
        </w:rPr>
        <w:t>.</w:t>
      </w:r>
    </w:p>
    <w:p w14:paraId="1362B521" w14:textId="77777777" w:rsidR="004E3BCC" w:rsidRDefault="004E3BCC" w:rsidP="004E3BCC">
      <w:pPr>
        <w:pStyle w:val="Prrafodelista"/>
        <w:numPr>
          <w:ilvl w:val="0"/>
          <w:numId w:val="27"/>
        </w:numPr>
        <w:rPr>
          <w:bCs/>
          <w:color w:val="auto"/>
          <w:lang w:val="es-ES"/>
        </w:rPr>
      </w:pPr>
      <w:r w:rsidRPr="009F24F2">
        <w:rPr>
          <w:bCs/>
          <w:color w:val="auto"/>
          <w:lang w:val="es-ES"/>
        </w:rPr>
        <w:t>Đakovački vodovod d.o.o.</w:t>
      </w:r>
      <w:r>
        <w:rPr>
          <w:bCs/>
          <w:color w:val="auto"/>
          <w:lang w:val="es-ES"/>
        </w:rPr>
        <w:t xml:space="preserve">, ubicada en </w:t>
      </w:r>
      <w:r w:rsidRPr="009F24F2">
        <w:rPr>
          <w:bCs/>
          <w:color w:val="auto"/>
          <w:lang w:val="es-ES"/>
        </w:rPr>
        <w:t>Đakovo</w:t>
      </w:r>
      <w:r>
        <w:rPr>
          <w:bCs/>
          <w:color w:val="auto"/>
          <w:lang w:val="es-ES"/>
        </w:rPr>
        <w:t>.</w:t>
      </w:r>
    </w:p>
    <w:p w14:paraId="4CCB69FC" w14:textId="77777777" w:rsidR="004E3BCC" w:rsidRDefault="004E3BCC" w:rsidP="004E3BCC">
      <w:pPr>
        <w:pStyle w:val="Prrafodelista"/>
        <w:numPr>
          <w:ilvl w:val="0"/>
          <w:numId w:val="27"/>
        </w:numPr>
        <w:rPr>
          <w:bCs/>
          <w:color w:val="auto"/>
          <w:lang w:val="es-ES"/>
        </w:rPr>
      </w:pPr>
      <w:r w:rsidRPr="009F24F2">
        <w:rPr>
          <w:bCs/>
          <w:color w:val="auto"/>
          <w:lang w:val="es-ES"/>
        </w:rPr>
        <w:lastRenderedPageBreak/>
        <w:t>Našički vodovod d.o.o.</w:t>
      </w:r>
      <w:r>
        <w:rPr>
          <w:bCs/>
          <w:color w:val="auto"/>
          <w:lang w:val="es-ES"/>
        </w:rPr>
        <w:t xml:space="preserve">, ubicada en </w:t>
      </w:r>
      <w:r w:rsidRPr="009F24F2">
        <w:rPr>
          <w:bCs/>
          <w:color w:val="auto"/>
          <w:lang w:val="es-ES"/>
        </w:rPr>
        <w:t>Našice</w:t>
      </w:r>
      <w:r>
        <w:rPr>
          <w:bCs/>
          <w:color w:val="auto"/>
          <w:lang w:val="es-ES"/>
        </w:rPr>
        <w:t>.</w:t>
      </w:r>
    </w:p>
    <w:p w14:paraId="32ADCED3" w14:textId="77777777" w:rsidR="004E3BCC" w:rsidRDefault="004E3BCC" w:rsidP="004E3BCC">
      <w:pPr>
        <w:pStyle w:val="Prrafodelista"/>
        <w:numPr>
          <w:ilvl w:val="0"/>
          <w:numId w:val="27"/>
        </w:numPr>
        <w:rPr>
          <w:bCs/>
          <w:color w:val="auto"/>
          <w:lang w:val="es-ES"/>
        </w:rPr>
      </w:pPr>
      <w:proofErr w:type="spellStart"/>
      <w:r w:rsidRPr="009F24F2">
        <w:rPr>
          <w:bCs/>
          <w:color w:val="auto"/>
          <w:lang w:val="es-ES"/>
        </w:rPr>
        <w:t>Komunalije</w:t>
      </w:r>
      <w:proofErr w:type="spellEnd"/>
      <w:r w:rsidRPr="009F24F2">
        <w:rPr>
          <w:bCs/>
          <w:color w:val="auto"/>
          <w:lang w:val="es-ES"/>
        </w:rPr>
        <w:t xml:space="preserve"> </w:t>
      </w:r>
      <w:proofErr w:type="spellStart"/>
      <w:r w:rsidRPr="009F24F2">
        <w:rPr>
          <w:bCs/>
          <w:color w:val="auto"/>
          <w:lang w:val="es-ES"/>
        </w:rPr>
        <w:t>d.o.o</w:t>
      </w:r>
      <w:proofErr w:type="spellEnd"/>
      <w:r w:rsidRPr="009F24F2">
        <w:rPr>
          <w:bCs/>
          <w:color w:val="auto"/>
          <w:lang w:val="es-ES"/>
        </w:rPr>
        <w:t>.</w:t>
      </w:r>
      <w:r>
        <w:rPr>
          <w:bCs/>
          <w:color w:val="auto"/>
          <w:lang w:val="es-ES"/>
        </w:rPr>
        <w:t xml:space="preserve">, ubicada en </w:t>
      </w:r>
      <w:r w:rsidRPr="009F24F2">
        <w:rPr>
          <w:bCs/>
          <w:color w:val="auto"/>
          <w:lang w:val="es-ES"/>
        </w:rPr>
        <w:t>Đurđevac</w:t>
      </w:r>
      <w:r>
        <w:rPr>
          <w:bCs/>
          <w:color w:val="auto"/>
          <w:lang w:val="es-ES"/>
        </w:rPr>
        <w:t>.</w:t>
      </w:r>
    </w:p>
    <w:p w14:paraId="50E44C2B" w14:textId="77777777" w:rsidR="004E3BCC" w:rsidRDefault="004E3BCC" w:rsidP="004E3BCC">
      <w:pPr>
        <w:pStyle w:val="Prrafodelista"/>
        <w:numPr>
          <w:ilvl w:val="0"/>
          <w:numId w:val="27"/>
        </w:numPr>
        <w:rPr>
          <w:bCs/>
          <w:color w:val="auto"/>
          <w:lang w:val="es-ES"/>
        </w:rPr>
      </w:pPr>
      <w:proofErr w:type="spellStart"/>
      <w:r w:rsidRPr="009F24F2">
        <w:rPr>
          <w:bCs/>
          <w:color w:val="auto"/>
          <w:lang w:val="es-ES"/>
        </w:rPr>
        <w:t>Vodovod</w:t>
      </w:r>
      <w:proofErr w:type="spellEnd"/>
      <w:r w:rsidRPr="009F24F2">
        <w:rPr>
          <w:bCs/>
          <w:color w:val="auto"/>
          <w:lang w:val="es-ES"/>
        </w:rPr>
        <w:t xml:space="preserve"> </w:t>
      </w:r>
      <w:proofErr w:type="spellStart"/>
      <w:r w:rsidRPr="009F24F2">
        <w:rPr>
          <w:bCs/>
          <w:color w:val="auto"/>
          <w:lang w:val="es-ES"/>
        </w:rPr>
        <w:t>Imotske</w:t>
      </w:r>
      <w:proofErr w:type="spellEnd"/>
      <w:r w:rsidRPr="009F24F2">
        <w:rPr>
          <w:bCs/>
          <w:color w:val="auto"/>
          <w:lang w:val="es-ES"/>
        </w:rPr>
        <w:t xml:space="preserve"> </w:t>
      </w:r>
      <w:proofErr w:type="spellStart"/>
      <w:r w:rsidRPr="009F24F2">
        <w:rPr>
          <w:bCs/>
          <w:color w:val="auto"/>
          <w:lang w:val="es-ES"/>
        </w:rPr>
        <w:t>krajine</w:t>
      </w:r>
      <w:proofErr w:type="spellEnd"/>
      <w:r w:rsidRPr="009F24F2">
        <w:rPr>
          <w:bCs/>
          <w:color w:val="auto"/>
          <w:lang w:val="es-ES"/>
        </w:rPr>
        <w:t xml:space="preserve"> </w:t>
      </w:r>
      <w:proofErr w:type="spellStart"/>
      <w:r w:rsidRPr="009F24F2">
        <w:rPr>
          <w:bCs/>
          <w:color w:val="auto"/>
          <w:lang w:val="es-ES"/>
        </w:rPr>
        <w:t>d.o.o</w:t>
      </w:r>
      <w:proofErr w:type="spellEnd"/>
      <w:r w:rsidRPr="009F24F2">
        <w:rPr>
          <w:bCs/>
          <w:color w:val="auto"/>
          <w:lang w:val="es-ES"/>
        </w:rPr>
        <w:t>.</w:t>
      </w:r>
      <w:r>
        <w:rPr>
          <w:bCs/>
          <w:color w:val="auto"/>
          <w:lang w:val="es-ES"/>
        </w:rPr>
        <w:t xml:space="preserve">, ubicada en </w:t>
      </w:r>
      <w:proofErr w:type="spellStart"/>
      <w:r w:rsidRPr="009F24F2">
        <w:rPr>
          <w:bCs/>
          <w:color w:val="auto"/>
          <w:lang w:val="es-ES"/>
        </w:rPr>
        <w:t>Imotski</w:t>
      </w:r>
      <w:proofErr w:type="spellEnd"/>
      <w:r>
        <w:rPr>
          <w:bCs/>
          <w:color w:val="auto"/>
          <w:lang w:val="es-ES"/>
        </w:rPr>
        <w:t>.</w:t>
      </w:r>
    </w:p>
    <w:p w14:paraId="614AED74" w14:textId="77777777" w:rsidR="004E3BCC" w:rsidRDefault="004E3BCC" w:rsidP="004E3BCC">
      <w:pPr>
        <w:pStyle w:val="Prrafodelista"/>
        <w:numPr>
          <w:ilvl w:val="0"/>
          <w:numId w:val="27"/>
        </w:numPr>
        <w:rPr>
          <w:bCs/>
          <w:color w:val="auto"/>
          <w:lang w:val="es-ES"/>
        </w:rPr>
      </w:pPr>
      <w:proofErr w:type="spellStart"/>
      <w:r w:rsidRPr="009F24F2">
        <w:rPr>
          <w:bCs/>
          <w:color w:val="auto"/>
          <w:lang w:val="es-ES"/>
        </w:rPr>
        <w:t>Komrad</w:t>
      </w:r>
      <w:proofErr w:type="spellEnd"/>
      <w:r w:rsidRPr="009F24F2">
        <w:rPr>
          <w:bCs/>
          <w:color w:val="auto"/>
          <w:lang w:val="es-ES"/>
        </w:rPr>
        <w:t xml:space="preserve"> </w:t>
      </w:r>
      <w:proofErr w:type="spellStart"/>
      <w:r w:rsidRPr="009F24F2">
        <w:rPr>
          <w:bCs/>
          <w:color w:val="auto"/>
          <w:lang w:val="es-ES"/>
        </w:rPr>
        <w:t>d.o.o</w:t>
      </w:r>
      <w:proofErr w:type="spellEnd"/>
      <w:r w:rsidRPr="009F24F2">
        <w:rPr>
          <w:bCs/>
          <w:color w:val="auto"/>
          <w:lang w:val="es-ES"/>
        </w:rPr>
        <w:t>.</w:t>
      </w:r>
      <w:r>
        <w:rPr>
          <w:bCs/>
          <w:color w:val="auto"/>
          <w:lang w:val="es-ES"/>
        </w:rPr>
        <w:t xml:space="preserve">, ubicada en </w:t>
      </w:r>
      <w:r w:rsidRPr="009F24F2">
        <w:rPr>
          <w:bCs/>
          <w:color w:val="auto"/>
          <w:lang w:val="es-ES"/>
        </w:rPr>
        <w:t>Slatina</w:t>
      </w:r>
      <w:r>
        <w:rPr>
          <w:bCs/>
          <w:color w:val="auto"/>
          <w:lang w:val="es-ES"/>
        </w:rPr>
        <w:t>.</w:t>
      </w:r>
    </w:p>
    <w:p w14:paraId="12846132" w14:textId="77777777" w:rsidR="004E3BCC" w:rsidRPr="00BE029A" w:rsidRDefault="004E3BCC" w:rsidP="004E3BCC">
      <w:pPr>
        <w:pStyle w:val="Prrafodelista"/>
        <w:numPr>
          <w:ilvl w:val="0"/>
          <w:numId w:val="27"/>
        </w:numPr>
        <w:rPr>
          <w:bCs/>
          <w:color w:val="auto"/>
          <w:lang w:val="es-ES"/>
        </w:rPr>
      </w:pPr>
      <w:proofErr w:type="spellStart"/>
      <w:r w:rsidRPr="00BE029A">
        <w:rPr>
          <w:bCs/>
          <w:color w:val="auto"/>
          <w:lang w:val="es-ES"/>
        </w:rPr>
        <w:t>Vodne</w:t>
      </w:r>
      <w:proofErr w:type="spellEnd"/>
      <w:r w:rsidRPr="00BE029A">
        <w:rPr>
          <w:bCs/>
          <w:color w:val="auto"/>
          <w:lang w:val="es-ES"/>
        </w:rPr>
        <w:t xml:space="preserve"> </w:t>
      </w:r>
      <w:proofErr w:type="spellStart"/>
      <w:r w:rsidRPr="00BE029A">
        <w:rPr>
          <w:bCs/>
          <w:color w:val="auto"/>
          <w:lang w:val="es-ES"/>
        </w:rPr>
        <w:t>usluge</w:t>
      </w:r>
      <w:proofErr w:type="spellEnd"/>
      <w:r w:rsidRPr="00BE029A">
        <w:rPr>
          <w:bCs/>
          <w:color w:val="auto"/>
          <w:lang w:val="es-ES"/>
        </w:rPr>
        <w:t xml:space="preserve"> </w:t>
      </w:r>
      <w:proofErr w:type="spellStart"/>
      <w:r w:rsidRPr="00BE029A">
        <w:rPr>
          <w:bCs/>
          <w:color w:val="auto"/>
          <w:lang w:val="es-ES"/>
        </w:rPr>
        <w:t>d.o.o</w:t>
      </w:r>
      <w:proofErr w:type="spellEnd"/>
      <w:r w:rsidRPr="00BE029A">
        <w:rPr>
          <w:bCs/>
          <w:color w:val="auto"/>
          <w:lang w:val="es-ES"/>
        </w:rPr>
        <w:t>., ubicada en Križevci.</w:t>
      </w:r>
    </w:p>
    <w:p w14:paraId="7B917DC6" w14:textId="77777777" w:rsidR="004E3BCC" w:rsidRDefault="004E3BCC" w:rsidP="004E3BCC">
      <w:pPr>
        <w:pStyle w:val="Prrafodelista"/>
        <w:numPr>
          <w:ilvl w:val="0"/>
          <w:numId w:val="27"/>
        </w:numPr>
        <w:rPr>
          <w:bCs/>
          <w:color w:val="auto"/>
          <w:lang w:val="es-ES"/>
        </w:rPr>
      </w:pPr>
      <w:r w:rsidRPr="009F24F2">
        <w:rPr>
          <w:bCs/>
          <w:color w:val="auto"/>
          <w:lang w:val="es-ES"/>
        </w:rPr>
        <w:t>Vodovod i kanalizacija d.o.o.</w:t>
      </w:r>
      <w:r>
        <w:rPr>
          <w:bCs/>
          <w:color w:val="auto"/>
          <w:lang w:val="es-ES"/>
        </w:rPr>
        <w:t xml:space="preserve">, ubicada en </w:t>
      </w:r>
      <w:proofErr w:type="spellStart"/>
      <w:r w:rsidRPr="009F24F2">
        <w:rPr>
          <w:bCs/>
          <w:color w:val="auto"/>
          <w:lang w:val="es-ES"/>
        </w:rPr>
        <w:t>Karlovac</w:t>
      </w:r>
      <w:proofErr w:type="spellEnd"/>
      <w:r>
        <w:rPr>
          <w:bCs/>
          <w:color w:val="auto"/>
          <w:lang w:val="es-ES"/>
        </w:rPr>
        <w:t>.</w:t>
      </w:r>
    </w:p>
    <w:p w14:paraId="17930121" w14:textId="77777777" w:rsidR="004E3BCC" w:rsidRDefault="004E3BCC" w:rsidP="004E3BCC">
      <w:pPr>
        <w:pStyle w:val="Prrafodelista"/>
        <w:numPr>
          <w:ilvl w:val="0"/>
          <w:numId w:val="27"/>
        </w:numPr>
        <w:rPr>
          <w:bCs/>
          <w:color w:val="auto"/>
          <w:lang w:val="es-ES"/>
        </w:rPr>
      </w:pPr>
      <w:proofErr w:type="spellStart"/>
      <w:r w:rsidRPr="009F24F2">
        <w:rPr>
          <w:bCs/>
          <w:color w:val="auto"/>
          <w:lang w:val="es-ES"/>
        </w:rPr>
        <w:t>Ivkom</w:t>
      </w:r>
      <w:proofErr w:type="spellEnd"/>
      <w:r w:rsidRPr="009F24F2">
        <w:rPr>
          <w:bCs/>
          <w:color w:val="auto"/>
          <w:lang w:val="es-ES"/>
        </w:rPr>
        <w:t xml:space="preserve"> </w:t>
      </w:r>
      <w:proofErr w:type="spellStart"/>
      <w:r w:rsidRPr="009F24F2">
        <w:rPr>
          <w:bCs/>
          <w:color w:val="auto"/>
          <w:lang w:val="es-ES"/>
        </w:rPr>
        <w:t>d.d</w:t>
      </w:r>
      <w:proofErr w:type="spellEnd"/>
      <w:r w:rsidRPr="009F24F2">
        <w:rPr>
          <w:bCs/>
          <w:color w:val="auto"/>
          <w:lang w:val="es-ES"/>
        </w:rPr>
        <w:t>.</w:t>
      </w:r>
      <w:r>
        <w:rPr>
          <w:bCs/>
          <w:color w:val="auto"/>
          <w:lang w:val="es-ES"/>
        </w:rPr>
        <w:t xml:space="preserve">, ubicada en </w:t>
      </w:r>
      <w:proofErr w:type="spellStart"/>
      <w:r w:rsidRPr="009F24F2">
        <w:rPr>
          <w:bCs/>
          <w:color w:val="auto"/>
          <w:lang w:val="es-ES"/>
        </w:rPr>
        <w:t>Ivanec</w:t>
      </w:r>
      <w:proofErr w:type="spellEnd"/>
      <w:r>
        <w:rPr>
          <w:bCs/>
          <w:color w:val="auto"/>
          <w:lang w:val="es-ES"/>
        </w:rPr>
        <w:t>.</w:t>
      </w:r>
    </w:p>
    <w:p w14:paraId="7D9F0D8D" w14:textId="77777777" w:rsidR="004E3BCC" w:rsidRDefault="004E3BCC" w:rsidP="004E3BCC">
      <w:pPr>
        <w:pStyle w:val="Prrafodelista"/>
        <w:numPr>
          <w:ilvl w:val="0"/>
          <w:numId w:val="27"/>
        </w:numPr>
        <w:rPr>
          <w:bCs/>
          <w:color w:val="auto"/>
          <w:lang w:val="es-ES"/>
        </w:rPr>
      </w:pPr>
      <w:proofErr w:type="spellStart"/>
      <w:r w:rsidRPr="009F24F2">
        <w:rPr>
          <w:bCs/>
          <w:color w:val="auto"/>
          <w:lang w:val="es-ES"/>
        </w:rPr>
        <w:t>Vodoopskrba</w:t>
      </w:r>
      <w:proofErr w:type="spellEnd"/>
      <w:r w:rsidRPr="009F24F2">
        <w:rPr>
          <w:bCs/>
          <w:color w:val="auto"/>
          <w:lang w:val="es-ES"/>
        </w:rPr>
        <w:t xml:space="preserve"> i </w:t>
      </w:r>
      <w:proofErr w:type="spellStart"/>
      <w:r w:rsidRPr="009F24F2">
        <w:rPr>
          <w:bCs/>
          <w:color w:val="auto"/>
          <w:lang w:val="es-ES"/>
        </w:rPr>
        <w:t>odvodnja</w:t>
      </w:r>
      <w:proofErr w:type="spellEnd"/>
      <w:r w:rsidRPr="009F24F2">
        <w:rPr>
          <w:bCs/>
          <w:color w:val="auto"/>
          <w:lang w:val="es-ES"/>
        </w:rPr>
        <w:t xml:space="preserve"> </w:t>
      </w:r>
      <w:proofErr w:type="spellStart"/>
      <w:r w:rsidRPr="009F24F2">
        <w:rPr>
          <w:bCs/>
          <w:color w:val="auto"/>
          <w:lang w:val="es-ES"/>
        </w:rPr>
        <w:t>Zagrebačke</w:t>
      </w:r>
      <w:proofErr w:type="spellEnd"/>
      <w:r w:rsidRPr="009F24F2">
        <w:rPr>
          <w:bCs/>
          <w:color w:val="auto"/>
          <w:lang w:val="es-ES"/>
        </w:rPr>
        <w:t xml:space="preserve"> </w:t>
      </w:r>
      <w:proofErr w:type="spellStart"/>
      <w:r w:rsidRPr="009F24F2">
        <w:rPr>
          <w:bCs/>
          <w:color w:val="auto"/>
          <w:lang w:val="es-ES"/>
        </w:rPr>
        <w:t>županije</w:t>
      </w:r>
      <w:proofErr w:type="spellEnd"/>
      <w:r w:rsidRPr="009F24F2">
        <w:rPr>
          <w:bCs/>
          <w:color w:val="auto"/>
          <w:lang w:val="es-ES"/>
        </w:rPr>
        <w:t xml:space="preserve"> </w:t>
      </w:r>
      <w:proofErr w:type="spellStart"/>
      <w:r w:rsidRPr="009F24F2">
        <w:rPr>
          <w:bCs/>
          <w:color w:val="auto"/>
          <w:lang w:val="es-ES"/>
        </w:rPr>
        <w:t>d.o.o</w:t>
      </w:r>
      <w:proofErr w:type="spellEnd"/>
      <w:r w:rsidRPr="009F24F2">
        <w:rPr>
          <w:bCs/>
          <w:color w:val="auto"/>
          <w:lang w:val="es-ES"/>
        </w:rPr>
        <w:t>.</w:t>
      </w:r>
      <w:r>
        <w:rPr>
          <w:bCs/>
          <w:color w:val="auto"/>
          <w:lang w:val="es-ES"/>
        </w:rPr>
        <w:t>, ubicada en Zagreb.</w:t>
      </w:r>
    </w:p>
    <w:p w14:paraId="2EB7A9E9" w14:textId="48DABADA" w:rsidR="004E3BCC" w:rsidRDefault="004E3BCC" w:rsidP="004E3BCC">
      <w:pPr>
        <w:pStyle w:val="Prrafodelista"/>
        <w:numPr>
          <w:ilvl w:val="0"/>
          <w:numId w:val="27"/>
        </w:numPr>
        <w:rPr>
          <w:bCs/>
          <w:color w:val="auto"/>
          <w:lang w:val="es-ES"/>
        </w:rPr>
      </w:pPr>
      <w:r w:rsidRPr="009F24F2">
        <w:rPr>
          <w:bCs/>
          <w:color w:val="auto"/>
          <w:lang w:val="es-ES"/>
        </w:rPr>
        <w:t>Pragrande d.o.o.</w:t>
      </w:r>
      <w:r>
        <w:rPr>
          <w:bCs/>
          <w:color w:val="auto"/>
          <w:lang w:val="es-ES"/>
        </w:rPr>
        <w:t>, ubicada en Pula</w:t>
      </w:r>
      <w:r w:rsidR="001D30E0">
        <w:rPr>
          <w:bCs/>
          <w:color w:val="auto"/>
          <w:lang w:val="es-ES"/>
        </w:rPr>
        <w:t xml:space="preserve"> (seleccionada para el único proyecto aprobado arriba mencionado).</w:t>
      </w:r>
    </w:p>
    <w:p w14:paraId="718F195F" w14:textId="56FE26B6" w:rsidR="00F10709" w:rsidRPr="004E3BCC" w:rsidRDefault="004E3BCC" w:rsidP="004E3BCC">
      <w:pPr>
        <w:pStyle w:val="Prrafodelista"/>
        <w:numPr>
          <w:ilvl w:val="0"/>
          <w:numId w:val="27"/>
        </w:numPr>
        <w:rPr>
          <w:bCs/>
          <w:color w:val="auto"/>
          <w:lang w:val="es-ES"/>
        </w:rPr>
      </w:pPr>
      <w:proofErr w:type="spellStart"/>
      <w:r w:rsidRPr="004E3BCC">
        <w:rPr>
          <w:bCs/>
          <w:color w:val="auto"/>
          <w:lang w:val="es-ES"/>
        </w:rPr>
        <w:t>Vodorad</w:t>
      </w:r>
      <w:proofErr w:type="spellEnd"/>
      <w:r w:rsidRPr="004E3BCC">
        <w:rPr>
          <w:bCs/>
          <w:color w:val="auto"/>
          <w:lang w:val="es-ES"/>
        </w:rPr>
        <w:t xml:space="preserve"> </w:t>
      </w:r>
      <w:proofErr w:type="spellStart"/>
      <w:r w:rsidRPr="004E3BCC">
        <w:rPr>
          <w:bCs/>
          <w:color w:val="auto"/>
          <w:lang w:val="es-ES"/>
        </w:rPr>
        <w:t>d.o.o</w:t>
      </w:r>
      <w:proofErr w:type="spellEnd"/>
      <w:r w:rsidRPr="004E3BCC">
        <w:rPr>
          <w:bCs/>
          <w:color w:val="auto"/>
          <w:lang w:val="es-ES"/>
        </w:rPr>
        <w:t xml:space="preserve">., ubicada en </w:t>
      </w:r>
      <w:proofErr w:type="spellStart"/>
      <w:r w:rsidRPr="004E3BCC">
        <w:rPr>
          <w:bCs/>
          <w:color w:val="auto"/>
          <w:lang w:val="es-ES"/>
        </w:rPr>
        <w:t>Đurđenovac</w:t>
      </w:r>
      <w:proofErr w:type="spellEnd"/>
      <w:r>
        <w:rPr>
          <w:bCs/>
          <w:color w:val="auto"/>
          <w:lang w:val="es-ES"/>
        </w:rPr>
        <w:t>.</w:t>
      </w:r>
    </w:p>
    <w:p w14:paraId="4EA706E3" w14:textId="42D27F2C" w:rsidR="00865666" w:rsidRDefault="00865666" w:rsidP="00865666">
      <w:pPr>
        <w:rPr>
          <w:bCs/>
          <w:color w:val="auto"/>
        </w:rPr>
      </w:pPr>
      <w:r w:rsidRPr="00865666">
        <w:rPr>
          <w:bCs/>
          <w:color w:val="auto"/>
        </w:rPr>
        <w:t xml:space="preserve">Respecto a la </w:t>
      </w:r>
      <w:r>
        <w:rPr>
          <w:b/>
          <w:color w:val="auto"/>
        </w:rPr>
        <w:t>absorción</w:t>
      </w:r>
      <w:r w:rsidRPr="00865666">
        <w:rPr>
          <w:b/>
          <w:color w:val="auto"/>
        </w:rPr>
        <w:t xml:space="preserve"> de los fondos europeos</w:t>
      </w:r>
      <w:r w:rsidRPr="00865666">
        <w:rPr>
          <w:bCs/>
          <w:color w:val="auto"/>
        </w:rPr>
        <w:t xml:space="preserve">, según cifras del </w:t>
      </w:r>
      <w:r>
        <w:rPr>
          <w:bCs/>
          <w:color w:val="auto"/>
        </w:rPr>
        <w:t>G</w:t>
      </w:r>
      <w:r w:rsidRPr="00865666">
        <w:rPr>
          <w:bCs/>
          <w:color w:val="auto"/>
        </w:rPr>
        <w:t>obierno croata, desde 2013 hasta octubre de 2022, Croacia ha absorbido 8.350 millones de euros procedentes de los Fondos Estructurales y de Inversión Europeos (ESIF). Esto representa el 77,8</w:t>
      </w:r>
      <w:r w:rsidR="00556FAB">
        <w:rPr>
          <w:bCs/>
          <w:color w:val="auto"/>
        </w:rPr>
        <w:t xml:space="preserve"> </w:t>
      </w:r>
      <w:r w:rsidRPr="00865666">
        <w:rPr>
          <w:bCs/>
          <w:color w:val="auto"/>
        </w:rPr>
        <w:t>% del monto total disponible para el país durante ese periodo. Si descontamos la contribución anual de Croacia al presupuesto europeo, resulta evidente que el país es un receptor neto de estos fondos, con un superávit de 55</w:t>
      </w:r>
      <w:r w:rsidR="00DD13D4">
        <w:rPr>
          <w:bCs/>
          <w:color w:val="auto"/>
        </w:rPr>
        <w:t>.</w:t>
      </w:r>
      <w:r w:rsidRPr="00865666">
        <w:rPr>
          <w:bCs/>
          <w:color w:val="auto"/>
        </w:rPr>
        <w:t>5</w:t>
      </w:r>
      <w:r w:rsidR="00DD13D4">
        <w:rPr>
          <w:bCs/>
          <w:color w:val="auto"/>
        </w:rPr>
        <w:t xml:space="preserve">00 </w:t>
      </w:r>
      <w:r w:rsidRPr="00865666">
        <w:rPr>
          <w:bCs/>
          <w:color w:val="auto"/>
        </w:rPr>
        <w:t xml:space="preserve">millones de euros en ese lapso. Al considerar los fondos provenientes del Programa de Recuperación y Resiliencia, el superávit se eleva </w:t>
      </w:r>
      <w:r w:rsidR="007B6A8E">
        <w:rPr>
          <w:bCs/>
          <w:color w:val="auto"/>
        </w:rPr>
        <w:t>aún más.</w:t>
      </w:r>
    </w:p>
    <w:p w14:paraId="4FDC0A22" w14:textId="706F8658" w:rsidR="00ED51C8" w:rsidRPr="003C274E" w:rsidRDefault="003F033D" w:rsidP="00B91787">
      <w:pPr>
        <w:rPr>
          <w:color w:val="auto"/>
          <w:lang w:val="es-ES" w:eastAsia="es-ES"/>
        </w:rPr>
      </w:pPr>
      <w:r>
        <w:rPr>
          <w:color w:val="auto"/>
          <w:lang w:val="es-ES" w:eastAsia="es-ES"/>
        </w:rPr>
        <w:t xml:space="preserve">Por otro lado, en lo que a </w:t>
      </w:r>
      <w:r w:rsidRPr="00E965F2">
        <w:rPr>
          <w:b/>
          <w:bCs/>
          <w:color w:val="auto"/>
          <w:lang w:val="es-ES" w:eastAsia="es-ES"/>
        </w:rPr>
        <w:t>inundaciones</w:t>
      </w:r>
      <w:r>
        <w:rPr>
          <w:color w:val="auto"/>
          <w:lang w:val="es-ES" w:eastAsia="es-ES"/>
        </w:rPr>
        <w:t xml:space="preserve"> respecta, Croacia ha recibido también financiación del </w:t>
      </w:r>
      <w:hyperlink r:id="rId24" w:anchor=":~:text=The%20European%20Union%20Solidarity%20Fund%20%28EUSF%29,for%20a%20list%20of%20all%20interventions&amp;text=The%20European%20Union%20Solidarity,list%20of%20all%20interventions&amp;text=Union%20Solidarity%20Fund%20%28EUSF%29,for%20a%20list%20of" w:history="1">
        <w:r w:rsidRPr="000C2084">
          <w:rPr>
            <w:rStyle w:val="Hipervnculo"/>
            <w:b/>
            <w:bCs/>
            <w:u w:val="none"/>
            <w:lang w:val="es-ES" w:eastAsia="es-ES"/>
          </w:rPr>
          <w:t>Fondo de Solidaridad de la UE</w:t>
        </w:r>
      </w:hyperlink>
      <w:r>
        <w:rPr>
          <w:color w:val="auto"/>
          <w:lang w:val="es-ES" w:eastAsia="es-ES"/>
        </w:rPr>
        <w:t xml:space="preserve">, el cual </w:t>
      </w:r>
      <w:r w:rsidRPr="00A12AA8">
        <w:rPr>
          <w:color w:val="auto"/>
          <w:lang w:val="es-ES" w:eastAsia="es-ES"/>
        </w:rPr>
        <w:t>se creó para responder a catástrofes naturales graves y expresar la solidaridad europea con las regiones afectadas dentro de Europa</w:t>
      </w:r>
      <w:r>
        <w:rPr>
          <w:color w:val="auto"/>
          <w:lang w:val="es-ES" w:eastAsia="es-ES"/>
        </w:rPr>
        <w:t>.</w:t>
      </w:r>
    </w:p>
    <w:p w14:paraId="3D0E942A" w14:textId="4F636A48" w:rsidR="001E5379" w:rsidRDefault="007E4832" w:rsidP="001E5379">
      <w:pPr>
        <w:pStyle w:val="Ttulo2"/>
      </w:pPr>
      <w:bookmarkStart w:id="39" w:name="_Toc148363706"/>
      <w:r>
        <w:t xml:space="preserve">Listado de </w:t>
      </w:r>
      <w:r w:rsidR="002E608D">
        <w:t>los principales proyectos</w:t>
      </w:r>
      <w:bookmarkEnd w:id="39"/>
    </w:p>
    <w:p w14:paraId="4611D588" w14:textId="5901F0CC" w:rsidR="00810DDB" w:rsidRDefault="00E706F2" w:rsidP="00E706F2">
      <w:bookmarkStart w:id="40" w:name="_Hlk145951043"/>
      <w:r>
        <w:rPr>
          <w:lang w:val="es-ES" w:eastAsia="es-ES"/>
        </w:rPr>
        <w:t xml:space="preserve">A </w:t>
      </w:r>
      <w:r w:rsidR="000C2084">
        <w:rPr>
          <w:lang w:val="es-ES" w:eastAsia="es-ES"/>
        </w:rPr>
        <w:t>continuación,</w:t>
      </w:r>
      <w:r>
        <w:rPr>
          <w:lang w:val="es-ES" w:eastAsia="es-ES"/>
        </w:rPr>
        <w:t xml:space="preserve"> se muestra un listado con los principales proyectos actuales del sector del agua.</w:t>
      </w:r>
      <w:r w:rsidR="00810DDB" w:rsidRPr="00810DDB">
        <w:t xml:space="preserve"> </w:t>
      </w:r>
      <w:r w:rsidR="00810DDB" w:rsidRPr="00810DDB">
        <w:rPr>
          <w:lang w:val="es-ES" w:eastAsia="es-ES"/>
        </w:rPr>
        <w:t>Es relevante mencionar que todas las convocatorias para licitaciones se anuncian tanto en el Diario Oficial de la UE como en el Boletín Oficial croata, conocido como "Narodne Novine". Para consultar estas licitaciones electrónicamente:</w:t>
      </w:r>
      <w:r w:rsidRPr="00E706F2">
        <w:t xml:space="preserve"> </w:t>
      </w:r>
    </w:p>
    <w:p w14:paraId="24ADB5EA" w14:textId="415980DF" w:rsidR="00810DDB" w:rsidRDefault="00810DDB" w:rsidP="00810DDB">
      <w:pPr>
        <w:pStyle w:val="Prrafodelista"/>
        <w:numPr>
          <w:ilvl w:val="0"/>
          <w:numId w:val="35"/>
        </w:numPr>
      </w:pPr>
      <w:r>
        <w:t>En el caso de la UE:</w:t>
      </w:r>
      <w:r w:rsidR="00F479E1">
        <w:t xml:space="preserve"> </w:t>
      </w:r>
      <w:hyperlink r:id="rId25" w:history="1">
        <w:r w:rsidR="00F479E1" w:rsidRPr="001740CC">
          <w:rPr>
            <w:rStyle w:val="Hipervnculo"/>
          </w:rPr>
          <w:t>https://simap.ted.europa.eu/</w:t>
        </w:r>
      </w:hyperlink>
    </w:p>
    <w:p w14:paraId="35C66A83" w14:textId="1AB94DA4" w:rsidR="00E706F2" w:rsidRPr="00810DDB" w:rsidRDefault="00810DDB" w:rsidP="00E706F2">
      <w:pPr>
        <w:pStyle w:val="Prrafodelista"/>
        <w:numPr>
          <w:ilvl w:val="0"/>
          <w:numId w:val="35"/>
        </w:numPr>
      </w:pPr>
      <w:r>
        <w:t xml:space="preserve">Para el Boletín Oficial de Croacia (disponible en croata): </w:t>
      </w:r>
      <w:hyperlink r:id="rId26" w:history="1">
        <w:r w:rsidRPr="0057173A">
          <w:rPr>
            <w:rStyle w:val="Hipervnculo"/>
          </w:rPr>
          <w:t>https://eojn.nn.hr</w:t>
        </w:r>
      </w:hyperlink>
      <w:bookmarkEnd w:id="40"/>
    </w:p>
    <w:tbl>
      <w:tblPr>
        <w:tblStyle w:val="Tablanormal2"/>
        <w:tblW w:w="0" w:type="auto"/>
        <w:tblLook w:val="04A0" w:firstRow="1" w:lastRow="0" w:firstColumn="1" w:lastColumn="0" w:noHBand="0" w:noVBand="1"/>
      </w:tblPr>
      <w:tblGrid>
        <w:gridCol w:w="2991"/>
        <w:gridCol w:w="6641"/>
      </w:tblGrid>
      <w:tr w:rsidR="00ED32F0" w:rsidRPr="007E16A2" w14:paraId="3E863818" w14:textId="77777777" w:rsidTr="00F65EE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9D2D0" w:themeFill="accent1" w:themeFillTint="33"/>
            <w:vAlign w:val="center"/>
            <w:hideMark/>
          </w:tcPr>
          <w:p w14:paraId="10028ADF" w14:textId="3EF405BA" w:rsidR="00ED32F0" w:rsidRPr="000C2084" w:rsidRDefault="00ED32F0" w:rsidP="005B1501">
            <w:pPr>
              <w:spacing w:after="0"/>
              <w:jc w:val="left"/>
              <w:rPr>
                <w:rFonts w:asciiTheme="minorHAnsi" w:hAnsiTheme="minorHAnsi" w:cstheme="minorHAnsi"/>
                <w:color w:val="FF0000"/>
                <w:sz w:val="19"/>
                <w:szCs w:val="19"/>
                <w:lang w:eastAsia="es-ES"/>
              </w:rPr>
            </w:pPr>
            <w:bookmarkStart w:id="41" w:name="_Hlk145943884"/>
            <w:r w:rsidRPr="000C2084">
              <w:rPr>
                <w:rFonts w:asciiTheme="minorHAnsi" w:hAnsiTheme="minorHAnsi" w:cstheme="minorHAnsi"/>
                <w:color w:val="FF0000"/>
                <w:sz w:val="19"/>
                <w:szCs w:val="19"/>
                <w:lang w:eastAsia="es-ES"/>
              </w:rPr>
              <w:t>Empresa/Organización</w:t>
            </w:r>
          </w:p>
        </w:tc>
        <w:tc>
          <w:tcPr>
            <w:tcW w:w="0" w:type="auto"/>
            <w:shd w:val="clear" w:color="auto" w:fill="F9D2D0" w:themeFill="accent1" w:themeFillTint="33"/>
            <w:vAlign w:val="center"/>
            <w:hideMark/>
          </w:tcPr>
          <w:p w14:paraId="3C572005" w14:textId="78229B7B" w:rsidR="00ED32F0" w:rsidRPr="000C2084" w:rsidRDefault="00ED32F0" w:rsidP="005B1501">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sz w:val="19"/>
                <w:szCs w:val="19"/>
                <w:lang w:eastAsia="es-ES"/>
              </w:rPr>
            </w:pPr>
            <w:r w:rsidRPr="000C2084">
              <w:rPr>
                <w:rFonts w:asciiTheme="minorHAnsi" w:hAnsiTheme="minorHAnsi" w:cstheme="minorHAnsi"/>
                <w:color w:val="FF0000"/>
                <w:sz w:val="19"/>
                <w:szCs w:val="19"/>
                <w:lang w:eastAsia="es-ES"/>
              </w:rPr>
              <w:t>Descripción del proyecto</w:t>
            </w:r>
          </w:p>
        </w:tc>
      </w:tr>
      <w:tr w:rsidR="00ED32F0" w:rsidRPr="007E16A2" w14:paraId="7D0942E1"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E22BA26" w14:textId="5347D84F" w:rsidR="00ED32F0" w:rsidRPr="000C2084" w:rsidRDefault="00ED32F0" w:rsidP="005B1501">
            <w:pPr>
              <w:spacing w:after="0"/>
              <w:jc w:val="left"/>
              <w:rPr>
                <w:rFonts w:asciiTheme="minorHAnsi" w:hAnsiTheme="minorHAnsi" w:cstheme="minorHAnsi"/>
                <w:sz w:val="18"/>
                <w:szCs w:val="18"/>
                <w:lang w:eastAsia="es-ES"/>
              </w:rPr>
            </w:pPr>
            <w:proofErr w:type="spellStart"/>
            <w:r w:rsidRPr="000C2084">
              <w:rPr>
                <w:rFonts w:asciiTheme="minorHAnsi" w:hAnsiTheme="minorHAnsi" w:cstheme="minorHAnsi"/>
                <w:sz w:val="18"/>
                <w:szCs w:val="18"/>
                <w:lang w:eastAsia="es-ES"/>
              </w:rPr>
              <w:t>Privreda</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Petrinja</w:t>
            </w:r>
            <w:proofErr w:type="spellEnd"/>
          </w:p>
        </w:tc>
        <w:tc>
          <w:tcPr>
            <w:tcW w:w="0" w:type="auto"/>
            <w:vAlign w:val="center"/>
            <w:hideMark/>
          </w:tcPr>
          <w:p w14:paraId="64259418" w14:textId="10EAAF91" w:rsidR="00ED32F0" w:rsidRPr="000C2084" w:rsidRDefault="00ED32F0"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Reconstrucción de la tubería de suministro </w:t>
            </w:r>
            <w:proofErr w:type="spellStart"/>
            <w:r w:rsidRPr="000C2084">
              <w:rPr>
                <w:rFonts w:asciiTheme="minorHAnsi" w:hAnsiTheme="minorHAnsi" w:cstheme="minorHAnsi"/>
                <w:sz w:val="18"/>
                <w:szCs w:val="18"/>
                <w:lang w:eastAsia="es-ES"/>
              </w:rPr>
              <w:t>Hrastovica</w:t>
            </w:r>
            <w:proofErr w:type="spellEnd"/>
            <w:r w:rsidRPr="000C2084">
              <w:rPr>
                <w:rFonts w:asciiTheme="minorHAnsi" w:hAnsiTheme="minorHAnsi" w:cstheme="minorHAnsi"/>
                <w:sz w:val="18"/>
                <w:szCs w:val="18"/>
                <w:lang w:eastAsia="es-ES"/>
              </w:rPr>
              <w:t xml:space="preserve"> - VS </w:t>
            </w:r>
            <w:proofErr w:type="spellStart"/>
            <w:r w:rsidRPr="000C2084">
              <w:rPr>
                <w:rFonts w:asciiTheme="minorHAnsi" w:hAnsiTheme="minorHAnsi" w:cstheme="minorHAnsi"/>
                <w:sz w:val="18"/>
                <w:szCs w:val="18"/>
                <w:lang w:eastAsia="es-ES"/>
              </w:rPr>
              <w:t>Zebinac</w:t>
            </w:r>
            <w:proofErr w:type="spellEnd"/>
            <w:r w:rsidRPr="000C2084">
              <w:rPr>
                <w:rFonts w:asciiTheme="minorHAnsi" w:hAnsiTheme="minorHAnsi" w:cstheme="minorHAnsi"/>
                <w:sz w:val="18"/>
                <w:szCs w:val="18"/>
                <w:lang w:eastAsia="es-ES"/>
              </w:rPr>
              <w:t>.</w:t>
            </w:r>
          </w:p>
        </w:tc>
      </w:tr>
      <w:tr w:rsidR="00ED32F0" w:rsidRPr="007E16A2" w14:paraId="50062546"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579E62" w14:textId="6AB292A0" w:rsidR="00ED32F0" w:rsidRPr="000C2084" w:rsidRDefault="00ED32F0" w:rsidP="005B1501">
            <w:pPr>
              <w:spacing w:after="0"/>
              <w:jc w:val="left"/>
              <w:rPr>
                <w:rFonts w:asciiTheme="minorHAnsi" w:hAnsiTheme="minorHAnsi" w:cstheme="minorHAnsi"/>
                <w:sz w:val="18"/>
                <w:szCs w:val="18"/>
                <w:lang w:val="en-US" w:eastAsia="es-ES"/>
              </w:rPr>
            </w:pPr>
            <w:proofErr w:type="spellStart"/>
            <w:r w:rsidRPr="000C2084">
              <w:rPr>
                <w:rFonts w:asciiTheme="minorHAnsi" w:hAnsiTheme="minorHAnsi" w:cstheme="minorHAnsi"/>
                <w:sz w:val="18"/>
                <w:szCs w:val="18"/>
                <w:lang w:val="en-US" w:eastAsia="es-ES"/>
              </w:rPr>
              <w:t>Komunalije</w:t>
            </w:r>
            <w:proofErr w:type="spellEnd"/>
            <w:r w:rsidRPr="000C2084">
              <w:rPr>
                <w:rFonts w:asciiTheme="minorHAnsi" w:hAnsiTheme="minorHAnsi" w:cstheme="minorHAnsi"/>
                <w:sz w:val="18"/>
                <w:szCs w:val="18"/>
                <w:lang w:val="en-US" w:eastAsia="es-ES"/>
              </w:rPr>
              <w:t xml:space="preserve"> </w:t>
            </w:r>
            <w:proofErr w:type="spellStart"/>
            <w:r w:rsidRPr="000C2084">
              <w:rPr>
                <w:rFonts w:asciiTheme="minorHAnsi" w:hAnsiTheme="minorHAnsi" w:cstheme="minorHAnsi"/>
                <w:sz w:val="18"/>
                <w:szCs w:val="18"/>
                <w:lang w:val="en-US" w:eastAsia="es-ES"/>
              </w:rPr>
              <w:t>Ilok</w:t>
            </w:r>
            <w:proofErr w:type="spellEnd"/>
          </w:p>
        </w:tc>
        <w:tc>
          <w:tcPr>
            <w:tcW w:w="0" w:type="auto"/>
            <w:vAlign w:val="center"/>
            <w:hideMark/>
          </w:tcPr>
          <w:p w14:paraId="4218FA60" w14:textId="6131E62D" w:rsidR="00ED32F0" w:rsidRPr="000C2084" w:rsidRDefault="00ED32F0"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Reconstrucción de las tuberías de suministro de agua en las calles Dr. Franje </w:t>
            </w:r>
            <w:proofErr w:type="spellStart"/>
            <w:r w:rsidRPr="000C2084">
              <w:rPr>
                <w:rFonts w:asciiTheme="minorHAnsi" w:hAnsiTheme="minorHAnsi" w:cstheme="minorHAnsi"/>
                <w:sz w:val="18"/>
                <w:szCs w:val="18"/>
                <w:lang w:eastAsia="es-ES"/>
              </w:rPr>
              <w:t>Tuđmana</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Fruškogorska</w:t>
            </w:r>
            <w:proofErr w:type="spellEnd"/>
            <w:r w:rsidRPr="000C2084">
              <w:rPr>
                <w:rFonts w:asciiTheme="minorHAnsi" w:hAnsiTheme="minorHAnsi" w:cstheme="minorHAnsi"/>
                <w:sz w:val="18"/>
                <w:szCs w:val="18"/>
                <w:lang w:eastAsia="es-ES"/>
              </w:rPr>
              <w:t xml:space="preserve">, T. </w:t>
            </w:r>
            <w:proofErr w:type="spellStart"/>
            <w:r w:rsidRPr="000C2084">
              <w:rPr>
                <w:rFonts w:asciiTheme="minorHAnsi" w:hAnsiTheme="minorHAnsi" w:cstheme="minorHAnsi"/>
                <w:sz w:val="18"/>
                <w:szCs w:val="18"/>
                <w:lang w:eastAsia="es-ES"/>
              </w:rPr>
              <w:t>Bošnjaka</w:t>
            </w:r>
            <w:proofErr w:type="spellEnd"/>
            <w:r w:rsidRPr="000C2084">
              <w:rPr>
                <w:rFonts w:asciiTheme="minorHAnsi" w:hAnsiTheme="minorHAnsi" w:cstheme="minorHAnsi"/>
                <w:sz w:val="18"/>
                <w:szCs w:val="18"/>
                <w:lang w:eastAsia="es-ES"/>
              </w:rPr>
              <w:t xml:space="preserve">, K. </w:t>
            </w:r>
            <w:proofErr w:type="spellStart"/>
            <w:r w:rsidRPr="000C2084">
              <w:rPr>
                <w:rFonts w:asciiTheme="minorHAnsi" w:hAnsiTheme="minorHAnsi" w:cstheme="minorHAnsi"/>
                <w:sz w:val="18"/>
                <w:szCs w:val="18"/>
                <w:lang w:eastAsia="es-ES"/>
              </w:rPr>
              <w:t>Branimira</w:t>
            </w:r>
            <w:proofErr w:type="spellEnd"/>
            <w:r w:rsidRPr="000C2084">
              <w:rPr>
                <w:rFonts w:asciiTheme="minorHAnsi" w:hAnsiTheme="minorHAnsi" w:cstheme="minorHAnsi"/>
                <w:sz w:val="18"/>
                <w:szCs w:val="18"/>
                <w:lang w:eastAsia="es-ES"/>
              </w:rPr>
              <w:t xml:space="preserve"> y V. </w:t>
            </w:r>
            <w:proofErr w:type="spellStart"/>
            <w:r w:rsidRPr="000C2084">
              <w:rPr>
                <w:rFonts w:asciiTheme="minorHAnsi" w:hAnsiTheme="minorHAnsi" w:cstheme="minorHAnsi"/>
                <w:sz w:val="18"/>
                <w:szCs w:val="18"/>
                <w:lang w:eastAsia="es-ES"/>
              </w:rPr>
              <w:t>Nazora</w:t>
            </w:r>
            <w:proofErr w:type="spellEnd"/>
            <w:r w:rsidRPr="000C2084">
              <w:rPr>
                <w:rFonts w:asciiTheme="minorHAnsi" w:hAnsiTheme="minorHAnsi" w:cstheme="minorHAnsi"/>
                <w:sz w:val="18"/>
                <w:szCs w:val="18"/>
                <w:lang w:eastAsia="es-ES"/>
              </w:rPr>
              <w:t xml:space="preserve">, en la ciudad de </w:t>
            </w:r>
            <w:proofErr w:type="spellStart"/>
            <w:r w:rsidRPr="000C2084">
              <w:rPr>
                <w:rFonts w:asciiTheme="minorHAnsi" w:hAnsiTheme="minorHAnsi" w:cstheme="minorHAnsi"/>
                <w:sz w:val="18"/>
                <w:szCs w:val="18"/>
                <w:lang w:eastAsia="es-ES"/>
              </w:rPr>
              <w:t>Ilok</w:t>
            </w:r>
            <w:proofErr w:type="spellEnd"/>
            <w:r w:rsidRPr="000C2084">
              <w:rPr>
                <w:rFonts w:asciiTheme="minorHAnsi" w:hAnsiTheme="minorHAnsi" w:cstheme="minorHAnsi"/>
                <w:sz w:val="18"/>
                <w:szCs w:val="18"/>
                <w:lang w:eastAsia="es-ES"/>
              </w:rPr>
              <w:t>.</w:t>
            </w:r>
          </w:p>
        </w:tc>
      </w:tr>
      <w:tr w:rsidR="00ED32F0" w:rsidRPr="007E16A2" w14:paraId="5650E863"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6D0D648" w14:textId="5E74B50D" w:rsidR="00ED32F0" w:rsidRPr="000C2084" w:rsidRDefault="00ED32F0" w:rsidP="005B1501">
            <w:pPr>
              <w:spacing w:after="0"/>
              <w:jc w:val="left"/>
              <w:rPr>
                <w:rFonts w:asciiTheme="minorHAnsi" w:hAnsiTheme="minorHAnsi" w:cstheme="minorHAnsi"/>
                <w:sz w:val="18"/>
                <w:szCs w:val="18"/>
                <w:lang w:val="en-US" w:eastAsia="es-ES"/>
              </w:rPr>
            </w:pPr>
            <w:proofErr w:type="spellStart"/>
            <w:r w:rsidRPr="000C2084">
              <w:rPr>
                <w:rFonts w:asciiTheme="minorHAnsi" w:hAnsiTheme="minorHAnsi" w:cstheme="minorHAnsi"/>
                <w:sz w:val="18"/>
                <w:szCs w:val="18"/>
                <w:lang w:val="en-US" w:eastAsia="es-ES"/>
              </w:rPr>
              <w:t>Moslavina</w:t>
            </w:r>
            <w:proofErr w:type="spellEnd"/>
            <w:r w:rsidRPr="000C2084">
              <w:rPr>
                <w:rFonts w:asciiTheme="minorHAnsi" w:hAnsiTheme="minorHAnsi" w:cstheme="minorHAnsi"/>
                <w:sz w:val="18"/>
                <w:szCs w:val="18"/>
                <w:lang w:val="en-US" w:eastAsia="es-ES"/>
              </w:rPr>
              <w:t xml:space="preserve"> Kutina</w:t>
            </w:r>
          </w:p>
        </w:tc>
        <w:tc>
          <w:tcPr>
            <w:tcW w:w="0" w:type="auto"/>
            <w:vAlign w:val="center"/>
            <w:hideMark/>
          </w:tcPr>
          <w:p w14:paraId="3587159B" w14:textId="1724287C" w:rsidR="00ED32F0" w:rsidRPr="000C2084" w:rsidRDefault="00ED32F0"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Construcción y reconstrucción de la red de suministro de agua en la parte sur de la calle </w:t>
            </w:r>
            <w:proofErr w:type="spellStart"/>
            <w:r w:rsidRPr="000C2084">
              <w:rPr>
                <w:rFonts w:asciiTheme="minorHAnsi" w:hAnsiTheme="minorHAnsi" w:cstheme="minorHAnsi"/>
                <w:sz w:val="18"/>
                <w:szCs w:val="18"/>
                <w:lang w:eastAsia="es-ES"/>
              </w:rPr>
              <w:t>Stjepana</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Radića</w:t>
            </w:r>
            <w:proofErr w:type="spellEnd"/>
            <w:r w:rsidRPr="000C2084">
              <w:rPr>
                <w:rFonts w:asciiTheme="minorHAnsi" w:hAnsiTheme="minorHAnsi" w:cstheme="minorHAnsi"/>
                <w:sz w:val="18"/>
                <w:szCs w:val="18"/>
                <w:lang w:eastAsia="es-ES"/>
              </w:rPr>
              <w:t xml:space="preserve">, en </w:t>
            </w:r>
            <w:proofErr w:type="spellStart"/>
            <w:r w:rsidRPr="000C2084">
              <w:rPr>
                <w:rFonts w:asciiTheme="minorHAnsi" w:hAnsiTheme="minorHAnsi" w:cstheme="minorHAnsi"/>
                <w:sz w:val="18"/>
                <w:szCs w:val="18"/>
                <w:lang w:eastAsia="es-ES"/>
              </w:rPr>
              <w:t>Kutina</w:t>
            </w:r>
            <w:proofErr w:type="spellEnd"/>
            <w:r w:rsidRPr="000C2084">
              <w:rPr>
                <w:rFonts w:asciiTheme="minorHAnsi" w:hAnsiTheme="minorHAnsi" w:cstheme="minorHAnsi"/>
                <w:sz w:val="18"/>
                <w:szCs w:val="18"/>
                <w:lang w:eastAsia="es-ES"/>
              </w:rPr>
              <w:t>.</w:t>
            </w:r>
          </w:p>
        </w:tc>
      </w:tr>
      <w:tr w:rsidR="00ED32F0" w:rsidRPr="007E16A2" w14:paraId="55200ADB"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8F003DD" w14:textId="5FBA1B99" w:rsidR="00ED32F0" w:rsidRPr="000C2084" w:rsidRDefault="00ED32F0" w:rsidP="005B1501">
            <w:pPr>
              <w:spacing w:after="0"/>
              <w:jc w:val="left"/>
              <w:rPr>
                <w:rFonts w:asciiTheme="minorHAnsi" w:hAnsiTheme="minorHAnsi" w:cstheme="minorHAnsi"/>
                <w:sz w:val="18"/>
                <w:szCs w:val="18"/>
                <w:lang w:val="en-US" w:eastAsia="es-ES"/>
              </w:rPr>
            </w:pPr>
            <w:proofErr w:type="spellStart"/>
            <w:r w:rsidRPr="000C2084">
              <w:rPr>
                <w:rFonts w:asciiTheme="minorHAnsi" w:hAnsiTheme="minorHAnsi" w:cstheme="minorHAnsi"/>
                <w:sz w:val="18"/>
                <w:szCs w:val="18"/>
                <w:lang w:val="en-US" w:eastAsia="es-ES"/>
              </w:rPr>
              <w:lastRenderedPageBreak/>
              <w:t>Vodovod</w:t>
            </w:r>
            <w:proofErr w:type="spellEnd"/>
            <w:r w:rsidRPr="000C2084">
              <w:rPr>
                <w:rFonts w:asciiTheme="minorHAnsi" w:hAnsiTheme="minorHAnsi" w:cstheme="minorHAnsi"/>
                <w:sz w:val="18"/>
                <w:szCs w:val="18"/>
                <w:lang w:val="en-US" w:eastAsia="es-ES"/>
              </w:rPr>
              <w:t xml:space="preserve"> Dubrovnik</w:t>
            </w:r>
          </w:p>
        </w:tc>
        <w:tc>
          <w:tcPr>
            <w:tcW w:w="0" w:type="auto"/>
            <w:vAlign w:val="center"/>
            <w:hideMark/>
          </w:tcPr>
          <w:p w14:paraId="372BCC17" w14:textId="1A6932BC" w:rsidR="00ED32F0" w:rsidRPr="000C2084" w:rsidRDefault="00ED32F0"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Sistema de alcantarillado y tratamiento de aguas residuales en la localidad de </w:t>
            </w:r>
            <w:proofErr w:type="spellStart"/>
            <w:r w:rsidRPr="000C2084">
              <w:rPr>
                <w:rFonts w:asciiTheme="minorHAnsi" w:hAnsiTheme="minorHAnsi" w:cstheme="minorHAnsi"/>
                <w:sz w:val="18"/>
                <w:szCs w:val="18"/>
                <w:lang w:eastAsia="es-ES"/>
              </w:rPr>
              <w:t>Suđurađ</w:t>
            </w:r>
            <w:proofErr w:type="spellEnd"/>
            <w:r w:rsidRPr="000C2084">
              <w:rPr>
                <w:rFonts w:asciiTheme="minorHAnsi" w:hAnsiTheme="minorHAnsi" w:cstheme="minorHAnsi"/>
                <w:sz w:val="18"/>
                <w:szCs w:val="18"/>
                <w:lang w:eastAsia="es-ES"/>
              </w:rPr>
              <w:t xml:space="preserve">, en la isla de </w:t>
            </w:r>
            <w:proofErr w:type="spellStart"/>
            <w:r w:rsidRPr="000C2084">
              <w:rPr>
                <w:rFonts w:asciiTheme="minorHAnsi" w:hAnsiTheme="minorHAnsi" w:cstheme="minorHAnsi"/>
                <w:sz w:val="18"/>
                <w:szCs w:val="18"/>
                <w:lang w:eastAsia="es-ES"/>
              </w:rPr>
              <w:t>Šipan</w:t>
            </w:r>
            <w:proofErr w:type="spellEnd"/>
            <w:r w:rsidRPr="000C2084">
              <w:rPr>
                <w:rFonts w:asciiTheme="minorHAnsi" w:hAnsiTheme="minorHAnsi" w:cstheme="minorHAnsi"/>
                <w:sz w:val="18"/>
                <w:szCs w:val="18"/>
                <w:lang w:eastAsia="es-ES"/>
              </w:rPr>
              <w:t xml:space="preserve">, y suministro de agua para la localidad de </w:t>
            </w:r>
            <w:proofErr w:type="spellStart"/>
            <w:r w:rsidRPr="000C2084">
              <w:rPr>
                <w:rFonts w:asciiTheme="minorHAnsi" w:hAnsiTheme="minorHAnsi" w:cstheme="minorHAnsi"/>
                <w:sz w:val="18"/>
                <w:szCs w:val="18"/>
                <w:lang w:eastAsia="es-ES"/>
              </w:rPr>
              <w:t>Doli</w:t>
            </w:r>
            <w:proofErr w:type="spellEnd"/>
            <w:r w:rsidRPr="000C2084">
              <w:rPr>
                <w:rFonts w:asciiTheme="minorHAnsi" w:hAnsiTheme="minorHAnsi" w:cstheme="minorHAnsi"/>
                <w:sz w:val="18"/>
                <w:szCs w:val="18"/>
                <w:lang w:eastAsia="es-ES"/>
              </w:rPr>
              <w:t xml:space="preserve"> </w:t>
            </w:r>
            <w:r w:rsidR="00F65EE6" w:rsidRPr="000C2084">
              <w:rPr>
                <w:rFonts w:asciiTheme="minorHAnsi" w:hAnsiTheme="minorHAnsi" w:cstheme="minorHAnsi"/>
                <w:sz w:val="18"/>
                <w:szCs w:val="18"/>
                <w:lang w:eastAsia="es-ES"/>
              </w:rPr>
              <w:t>(f</w:t>
            </w:r>
            <w:r w:rsidRPr="000C2084">
              <w:rPr>
                <w:rFonts w:asciiTheme="minorHAnsi" w:hAnsiTheme="minorHAnsi" w:cstheme="minorHAnsi"/>
                <w:sz w:val="18"/>
                <w:szCs w:val="18"/>
                <w:lang w:eastAsia="es-ES"/>
              </w:rPr>
              <w:t>ase III</w:t>
            </w:r>
            <w:r w:rsidR="00F65EE6" w:rsidRPr="000C2084">
              <w:rPr>
                <w:rFonts w:asciiTheme="minorHAnsi" w:hAnsiTheme="minorHAnsi" w:cstheme="minorHAnsi"/>
                <w:sz w:val="18"/>
                <w:szCs w:val="18"/>
                <w:lang w:eastAsia="es-ES"/>
              </w:rPr>
              <w:t>)</w:t>
            </w:r>
            <w:r w:rsidRPr="000C2084">
              <w:rPr>
                <w:rFonts w:asciiTheme="minorHAnsi" w:hAnsiTheme="minorHAnsi" w:cstheme="minorHAnsi"/>
                <w:sz w:val="18"/>
                <w:szCs w:val="18"/>
                <w:lang w:eastAsia="es-ES"/>
              </w:rPr>
              <w:t>.</w:t>
            </w:r>
          </w:p>
        </w:tc>
      </w:tr>
      <w:tr w:rsidR="00ED32F0" w:rsidRPr="007E16A2" w14:paraId="36813EC1"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94D4B99" w14:textId="643897BC" w:rsidR="00ED32F0" w:rsidRPr="000C2084" w:rsidRDefault="00ED32F0" w:rsidP="005B1501">
            <w:pPr>
              <w:spacing w:after="0"/>
              <w:jc w:val="left"/>
              <w:rPr>
                <w:rFonts w:asciiTheme="minorHAnsi" w:hAnsiTheme="minorHAnsi" w:cstheme="minorHAnsi"/>
                <w:sz w:val="18"/>
                <w:szCs w:val="18"/>
                <w:lang w:val="en-US" w:eastAsia="es-ES"/>
              </w:rPr>
            </w:pPr>
            <w:proofErr w:type="spellStart"/>
            <w:r w:rsidRPr="000C2084">
              <w:rPr>
                <w:rFonts w:asciiTheme="minorHAnsi" w:hAnsiTheme="minorHAnsi" w:cstheme="minorHAnsi"/>
                <w:sz w:val="18"/>
                <w:szCs w:val="18"/>
                <w:lang w:val="en-US" w:eastAsia="es-ES"/>
              </w:rPr>
              <w:t>Vodovod</w:t>
            </w:r>
            <w:proofErr w:type="spellEnd"/>
            <w:r w:rsidRPr="000C2084">
              <w:rPr>
                <w:rFonts w:asciiTheme="minorHAnsi" w:hAnsiTheme="minorHAnsi" w:cstheme="minorHAnsi"/>
                <w:sz w:val="18"/>
                <w:szCs w:val="18"/>
                <w:lang w:val="en-US" w:eastAsia="es-ES"/>
              </w:rPr>
              <w:t xml:space="preserve"> </w:t>
            </w:r>
            <w:proofErr w:type="spellStart"/>
            <w:r w:rsidRPr="000C2084">
              <w:rPr>
                <w:rFonts w:asciiTheme="minorHAnsi" w:hAnsiTheme="minorHAnsi" w:cstheme="minorHAnsi"/>
                <w:sz w:val="18"/>
                <w:szCs w:val="18"/>
                <w:lang w:val="en-US" w:eastAsia="es-ES"/>
              </w:rPr>
              <w:t>Korenica</w:t>
            </w:r>
            <w:proofErr w:type="spellEnd"/>
          </w:p>
        </w:tc>
        <w:tc>
          <w:tcPr>
            <w:tcW w:w="0" w:type="auto"/>
            <w:vAlign w:val="center"/>
            <w:hideMark/>
          </w:tcPr>
          <w:p w14:paraId="5C2AB295" w14:textId="62A48B7F" w:rsidR="00ED32F0" w:rsidRPr="000C2084" w:rsidRDefault="00ED32F0"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Trabajos en la red de suministro de agua para la localidad de </w:t>
            </w:r>
            <w:proofErr w:type="spellStart"/>
            <w:r w:rsidRPr="000C2084">
              <w:rPr>
                <w:rFonts w:asciiTheme="minorHAnsi" w:hAnsiTheme="minorHAnsi" w:cstheme="minorHAnsi"/>
                <w:sz w:val="18"/>
                <w:szCs w:val="18"/>
                <w:lang w:eastAsia="es-ES"/>
              </w:rPr>
              <w:t>Vrelo</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Koreničko</w:t>
            </w:r>
            <w:proofErr w:type="spellEnd"/>
            <w:r w:rsidRPr="000C2084">
              <w:rPr>
                <w:rFonts w:asciiTheme="minorHAnsi" w:hAnsiTheme="minorHAnsi" w:cstheme="minorHAnsi"/>
                <w:sz w:val="18"/>
                <w:szCs w:val="18"/>
                <w:lang w:eastAsia="es-ES"/>
              </w:rPr>
              <w:t>.</w:t>
            </w:r>
          </w:p>
        </w:tc>
      </w:tr>
      <w:tr w:rsidR="00ED32F0" w:rsidRPr="007E16A2" w14:paraId="3ACA55A2"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51535F" w14:textId="72683093" w:rsidR="00ED32F0" w:rsidRPr="000C2084" w:rsidRDefault="00ED32F0" w:rsidP="005B1501">
            <w:pPr>
              <w:spacing w:after="0"/>
              <w:jc w:val="left"/>
              <w:rPr>
                <w:rFonts w:asciiTheme="minorHAnsi" w:hAnsiTheme="minorHAnsi" w:cstheme="minorHAnsi"/>
                <w:sz w:val="18"/>
                <w:szCs w:val="18"/>
                <w:lang w:val="en-US" w:eastAsia="es-ES"/>
              </w:rPr>
            </w:pPr>
            <w:proofErr w:type="spellStart"/>
            <w:r w:rsidRPr="000C2084">
              <w:rPr>
                <w:rFonts w:asciiTheme="minorHAnsi" w:hAnsiTheme="minorHAnsi" w:cstheme="minorHAnsi"/>
                <w:sz w:val="18"/>
                <w:szCs w:val="18"/>
                <w:lang w:val="en-US" w:eastAsia="es-ES"/>
              </w:rPr>
              <w:t>ViO</w:t>
            </w:r>
            <w:proofErr w:type="spellEnd"/>
            <w:r w:rsidRPr="000C2084">
              <w:rPr>
                <w:rFonts w:asciiTheme="minorHAnsi" w:hAnsiTheme="minorHAnsi" w:cstheme="minorHAnsi"/>
                <w:sz w:val="18"/>
                <w:szCs w:val="18"/>
                <w:lang w:val="en-US" w:eastAsia="es-ES"/>
              </w:rPr>
              <w:t xml:space="preserve"> </w:t>
            </w:r>
            <w:proofErr w:type="spellStart"/>
            <w:r w:rsidRPr="000C2084">
              <w:rPr>
                <w:rFonts w:asciiTheme="minorHAnsi" w:hAnsiTheme="minorHAnsi" w:cstheme="minorHAnsi"/>
                <w:sz w:val="18"/>
                <w:szCs w:val="18"/>
                <w:lang w:val="en-US" w:eastAsia="es-ES"/>
              </w:rPr>
              <w:t>Vojnić</w:t>
            </w:r>
            <w:proofErr w:type="spellEnd"/>
          </w:p>
        </w:tc>
        <w:tc>
          <w:tcPr>
            <w:tcW w:w="0" w:type="auto"/>
            <w:vAlign w:val="center"/>
            <w:hideMark/>
          </w:tcPr>
          <w:p w14:paraId="3E0346A1" w14:textId="57D64FC2" w:rsidR="00ED32F0" w:rsidRPr="000C2084" w:rsidRDefault="00ED32F0"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Colector de transporte y planta de tratamiento de aguas residuales en </w:t>
            </w:r>
            <w:proofErr w:type="spellStart"/>
            <w:r w:rsidRPr="000C2084">
              <w:rPr>
                <w:rFonts w:asciiTheme="minorHAnsi" w:hAnsiTheme="minorHAnsi" w:cstheme="minorHAnsi"/>
                <w:sz w:val="18"/>
                <w:szCs w:val="18"/>
                <w:lang w:eastAsia="es-ES"/>
              </w:rPr>
              <w:t>Vojnić</w:t>
            </w:r>
            <w:proofErr w:type="spellEnd"/>
            <w:r w:rsidRPr="000C2084">
              <w:rPr>
                <w:rFonts w:asciiTheme="minorHAnsi" w:hAnsiTheme="minorHAnsi" w:cstheme="minorHAnsi"/>
                <w:sz w:val="18"/>
                <w:szCs w:val="18"/>
                <w:lang w:eastAsia="es-ES"/>
              </w:rPr>
              <w:t>.</w:t>
            </w:r>
          </w:p>
        </w:tc>
      </w:tr>
      <w:tr w:rsidR="00ED32F0" w:rsidRPr="007E16A2" w14:paraId="3508961F"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F44025D" w14:textId="7DF3915C" w:rsidR="00ED32F0" w:rsidRPr="000C2084" w:rsidRDefault="00021C63" w:rsidP="005B1501">
            <w:pPr>
              <w:spacing w:after="0"/>
              <w:jc w:val="left"/>
              <w:rPr>
                <w:rFonts w:asciiTheme="minorHAnsi" w:hAnsiTheme="minorHAnsi" w:cstheme="minorHAnsi"/>
                <w:sz w:val="18"/>
                <w:szCs w:val="18"/>
                <w:lang w:val="en-US" w:eastAsia="es-ES"/>
              </w:rPr>
            </w:pPr>
            <w:proofErr w:type="spellStart"/>
            <w:r w:rsidRPr="000C2084">
              <w:rPr>
                <w:rFonts w:asciiTheme="minorHAnsi" w:hAnsiTheme="minorHAnsi" w:cstheme="minorHAnsi"/>
                <w:sz w:val="18"/>
                <w:szCs w:val="18"/>
                <w:lang w:val="en-US" w:eastAsia="es-ES"/>
              </w:rPr>
              <w:t>Vodovod</w:t>
            </w:r>
            <w:proofErr w:type="spellEnd"/>
            <w:r w:rsidRPr="000C2084">
              <w:rPr>
                <w:rFonts w:asciiTheme="minorHAnsi" w:hAnsiTheme="minorHAnsi" w:cstheme="minorHAnsi"/>
                <w:sz w:val="18"/>
                <w:szCs w:val="18"/>
                <w:lang w:val="en-US" w:eastAsia="es-ES"/>
              </w:rPr>
              <w:t xml:space="preserve"> </w:t>
            </w:r>
            <w:proofErr w:type="spellStart"/>
            <w:r w:rsidRPr="000C2084">
              <w:rPr>
                <w:rFonts w:asciiTheme="minorHAnsi" w:hAnsiTheme="minorHAnsi" w:cstheme="minorHAnsi"/>
                <w:sz w:val="18"/>
                <w:szCs w:val="18"/>
                <w:lang w:val="en-US" w:eastAsia="es-ES"/>
              </w:rPr>
              <w:t>Slavonski</w:t>
            </w:r>
            <w:proofErr w:type="spellEnd"/>
            <w:r w:rsidRPr="000C2084">
              <w:rPr>
                <w:rFonts w:asciiTheme="minorHAnsi" w:hAnsiTheme="minorHAnsi" w:cstheme="minorHAnsi"/>
                <w:sz w:val="18"/>
                <w:szCs w:val="18"/>
                <w:lang w:val="en-US" w:eastAsia="es-ES"/>
              </w:rPr>
              <w:t xml:space="preserve"> Brod</w:t>
            </w:r>
          </w:p>
        </w:tc>
        <w:tc>
          <w:tcPr>
            <w:tcW w:w="0" w:type="auto"/>
            <w:vAlign w:val="center"/>
            <w:hideMark/>
          </w:tcPr>
          <w:p w14:paraId="100246F1" w14:textId="7041B91C" w:rsidR="00ED32F0" w:rsidRPr="000C2084" w:rsidRDefault="00021C63"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Suministro de agua en los municipios de </w:t>
            </w:r>
            <w:proofErr w:type="spellStart"/>
            <w:r w:rsidRPr="000C2084">
              <w:rPr>
                <w:rFonts w:asciiTheme="minorHAnsi" w:hAnsiTheme="minorHAnsi" w:cstheme="minorHAnsi"/>
                <w:sz w:val="18"/>
                <w:szCs w:val="18"/>
                <w:lang w:eastAsia="es-ES"/>
              </w:rPr>
              <w:t>Velika</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Kopanica</w:t>
            </w:r>
            <w:proofErr w:type="spellEnd"/>
            <w:r w:rsidRPr="000C2084">
              <w:rPr>
                <w:rFonts w:asciiTheme="minorHAnsi" w:hAnsiTheme="minorHAnsi" w:cstheme="minorHAnsi"/>
                <w:sz w:val="18"/>
                <w:szCs w:val="18"/>
                <w:lang w:eastAsia="es-ES"/>
              </w:rPr>
              <w:t xml:space="preserve"> y Donji </w:t>
            </w:r>
            <w:proofErr w:type="spellStart"/>
            <w:r w:rsidRPr="000C2084">
              <w:rPr>
                <w:rFonts w:asciiTheme="minorHAnsi" w:hAnsiTheme="minorHAnsi" w:cstheme="minorHAnsi"/>
                <w:sz w:val="18"/>
                <w:szCs w:val="18"/>
                <w:lang w:eastAsia="es-ES"/>
              </w:rPr>
              <w:t>Andrijevci</w:t>
            </w:r>
            <w:proofErr w:type="spellEnd"/>
            <w:r w:rsidRPr="000C2084">
              <w:rPr>
                <w:rFonts w:asciiTheme="minorHAnsi" w:hAnsiTheme="minorHAnsi" w:cstheme="minorHAnsi"/>
                <w:sz w:val="18"/>
                <w:szCs w:val="18"/>
                <w:lang w:eastAsia="es-ES"/>
              </w:rPr>
              <w:t>.</w:t>
            </w:r>
          </w:p>
        </w:tc>
      </w:tr>
      <w:tr w:rsidR="00ED32F0" w:rsidRPr="007E16A2" w14:paraId="3FF8A6CA"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573EB7F" w14:textId="7E1B18B6" w:rsidR="00ED32F0" w:rsidRPr="000C2084" w:rsidRDefault="00021C63" w:rsidP="005B1501">
            <w:pPr>
              <w:spacing w:after="0"/>
              <w:jc w:val="left"/>
              <w:rPr>
                <w:rFonts w:asciiTheme="minorHAnsi" w:hAnsiTheme="minorHAnsi" w:cstheme="minorHAnsi"/>
                <w:sz w:val="18"/>
                <w:szCs w:val="18"/>
                <w:lang w:val="en-US" w:eastAsia="es-ES"/>
              </w:rPr>
            </w:pPr>
            <w:proofErr w:type="spellStart"/>
            <w:r w:rsidRPr="000C2084">
              <w:rPr>
                <w:rFonts w:asciiTheme="minorHAnsi" w:hAnsiTheme="minorHAnsi" w:cstheme="minorHAnsi"/>
                <w:sz w:val="18"/>
                <w:szCs w:val="18"/>
                <w:lang w:val="en-US" w:eastAsia="es-ES"/>
              </w:rPr>
              <w:t>Vodovod</w:t>
            </w:r>
            <w:proofErr w:type="spellEnd"/>
            <w:r w:rsidRPr="000C2084">
              <w:rPr>
                <w:rFonts w:asciiTheme="minorHAnsi" w:hAnsiTheme="minorHAnsi" w:cstheme="minorHAnsi"/>
                <w:sz w:val="18"/>
                <w:szCs w:val="18"/>
                <w:lang w:val="en-US" w:eastAsia="es-ES"/>
              </w:rPr>
              <w:t xml:space="preserve"> Osijek</w:t>
            </w:r>
          </w:p>
        </w:tc>
        <w:tc>
          <w:tcPr>
            <w:tcW w:w="0" w:type="auto"/>
            <w:vAlign w:val="center"/>
            <w:hideMark/>
          </w:tcPr>
          <w:p w14:paraId="7D8543FB" w14:textId="65275749" w:rsidR="00ED32F0" w:rsidRPr="000C2084" w:rsidRDefault="00021C63"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Proyecto </w:t>
            </w:r>
            <w:proofErr w:type="spellStart"/>
            <w:r w:rsidRPr="000C2084">
              <w:rPr>
                <w:rFonts w:asciiTheme="minorHAnsi" w:hAnsiTheme="minorHAnsi" w:cstheme="minorHAnsi"/>
                <w:sz w:val="18"/>
                <w:szCs w:val="18"/>
                <w:lang w:eastAsia="es-ES"/>
              </w:rPr>
              <w:t>Osijek</w:t>
            </w:r>
            <w:proofErr w:type="spellEnd"/>
            <w:r w:rsidRPr="000C2084">
              <w:rPr>
                <w:rFonts w:asciiTheme="minorHAnsi" w:hAnsiTheme="minorHAnsi" w:cstheme="minorHAnsi"/>
                <w:sz w:val="18"/>
                <w:szCs w:val="18"/>
                <w:lang w:eastAsia="es-ES"/>
              </w:rPr>
              <w:t xml:space="preserve"> 4.</w:t>
            </w:r>
          </w:p>
        </w:tc>
      </w:tr>
      <w:tr w:rsidR="00ED32F0" w:rsidRPr="007E16A2" w14:paraId="54C38939"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12365A8" w14:textId="0BE918E4" w:rsidR="00ED32F0" w:rsidRPr="000C2084" w:rsidRDefault="00021C63" w:rsidP="005B1501">
            <w:pPr>
              <w:spacing w:after="0"/>
              <w:jc w:val="left"/>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Rad </w:t>
            </w:r>
            <w:proofErr w:type="spellStart"/>
            <w:r w:rsidRPr="000C2084">
              <w:rPr>
                <w:rFonts w:asciiTheme="minorHAnsi" w:hAnsiTheme="minorHAnsi" w:cstheme="minorHAnsi"/>
                <w:sz w:val="18"/>
                <w:szCs w:val="18"/>
                <w:lang w:eastAsia="es-ES"/>
              </w:rPr>
              <w:t>Drniš</w:t>
            </w:r>
            <w:proofErr w:type="spellEnd"/>
          </w:p>
        </w:tc>
        <w:tc>
          <w:tcPr>
            <w:tcW w:w="0" w:type="auto"/>
            <w:vAlign w:val="center"/>
            <w:hideMark/>
          </w:tcPr>
          <w:p w14:paraId="3B079CAC" w14:textId="316707D2" w:rsidR="00ED32F0" w:rsidRPr="000C2084" w:rsidRDefault="00021C63"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Construcción de una parte del sistema de alcantarillado</w:t>
            </w:r>
            <w:r w:rsidR="0007152B" w:rsidRPr="000C2084">
              <w:rPr>
                <w:rFonts w:asciiTheme="minorHAnsi" w:hAnsiTheme="minorHAnsi" w:cstheme="minorHAnsi"/>
                <w:sz w:val="18"/>
                <w:szCs w:val="18"/>
                <w:lang w:eastAsia="es-ES"/>
              </w:rPr>
              <w:t xml:space="preserve"> de</w:t>
            </w:r>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Drniš</w:t>
            </w:r>
            <w:proofErr w:type="spellEnd"/>
            <w:r w:rsidRPr="000C2084">
              <w:rPr>
                <w:rFonts w:asciiTheme="minorHAnsi" w:hAnsiTheme="minorHAnsi" w:cstheme="minorHAnsi"/>
                <w:sz w:val="18"/>
                <w:szCs w:val="18"/>
                <w:lang w:eastAsia="es-ES"/>
              </w:rPr>
              <w:t xml:space="preserve"> - Oeste 2.</w:t>
            </w:r>
          </w:p>
        </w:tc>
      </w:tr>
      <w:tr w:rsidR="00ED32F0" w:rsidRPr="007E16A2" w14:paraId="5B6542BF"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C743336" w14:textId="4EBBB65D" w:rsidR="00ED32F0" w:rsidRPr="000C2084" w:rsidRDefault="00021C63" w:rsidP="005B1501">
            <w:pPr>
              <w:spacing w:after="0"/>
              <w:jc w:val="left"/>
              <w:rPr>
                <w:rFonts w:asciiTheme="minorHAnsi" w:hAnsiTheme="minorHAnsi" w:cstheme="minorHAnsi"/>
                <w:sz w:val="18"/>
                <w:szCs w:val="18"/>
                <w:lang w:eastAsia="es-ES"/>
              </w:rPr>
            </w:pPr>
            <w:proofErr w:type="spellStart"/>
            <w:r w:rsidRPr="000C2084">
              <w:rPr>
                <w:rFonts w:asciiTheme="minorHAnsi" w:hAnsiTheme="minorHAnsi" w:cstheme="minorHAnsi"/>
                <w:sz w:val="18"/>
                <w:szCs w:val="18"/>
                <w:lang w:eastAsia="es-ES"/>
              </w:rPr>
              <w:t>ViO</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Zaprešić</w:t>
            </w:r>
            <w:proofErr w:type="spellEnd"/>
          </w:p>
        </w:tc>
        <w:tc>
          <w:tcPr>
            <w:tcW w:w="0" w:type="auto"/>
            <w:vAlign w:val="center"/>
            <w:hideMark/>
          </w:tcPr>
          <w:p w14:paraId="0CA4E3C5" w14:textId="25C15B7D" w:rsidR="00ED32F0" w:rsidRPr="000C2084" w:rsidRDefault="00021C63"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Reconstrucción y ampliación de la tubería de suministro de agua en el área </w:t>
            </w:r>
            <w:r w:rsidR="0007152B" w:rsidRPr="000C2084">
              <w:rPr>
                <w:rFonts w:asciiTheme="minorHAnsi" w:hAnsiTheme="minorHAnsi" w:cstheme="minorHAnsi"/>
                <w:sz w:val="18"/>
                <w:szCs w:val="18"/>
                <w:lang w:eastAsia="es-ES"/>
              </w:rPr>
              <w:t>urbana de</w:t>
            </w:r>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Zaprešić</w:t>
            </w:r>
            <w:proofErr w:type="spellEnd"/>
            <w:r w:rsidRPr="000C2084">
              <w:rPr>
                <w:rFonts w:asciiTheme="minorHAnsi" w:hAnsiTheme="minorHAnsi" w:cstheme="minorHAnsi"/>
                <w:sz w:val="18"/>
                <w:szCs w:val="18"/>
                <w:lang w:eastAsia="es-ES"/>
              </w:rPr>
              <w:t>.</w:t>
            </w:r>
          </w:p>
        </w:tc>
      </w:tr>
      <w:tr w:rsidR="00ED32F0" w:rsidRPr="007E16A2" w14:paraId="239B7EFD"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6BE8236" w14:textId="30CCBE0E" w:rsidR="00ED32F0" w:rsidRPr="000C2084" w:rsidRDefault="00021C63" w:rsidP="005B1501">
            <w:pPr>
              <w:spacing w:after="0"/>
              <w:jc w:val="left"/>
              <w:rPr>
                <w:rFonts w:asciiTheme="minorHAnsi" w:hAnsiTheme="minorHAnsi" w:cstheme="minorHAnsi"/>
                <w:sz w:val="18"/>
                <w:szCs w:val="18"/>
                <w:lang w:val="en-US" w:eastAsia="es-ES"/>
              </w:rPr>
            </w:pPr>
            <w:proofErr w:type="spellStart"/>
            <w:r w:rsidRPr="000C2084">
              <w:rPr>
                <w:rFonts w:asciiTheme="minorHAnsi" w:hAnsiTheme="minorHAnsi" w:cstheme="minorHAnsi"/>
                <w:sz w:val="18"/>
                <w:szCs w:val="18"/>
                <w:lang w:val="en-US" w:eastAsia="es-ES"/>
              </w:rPr>
              <w:t>Vodne</w:t>
            </w:r>
            <w:proofErr w:type="spellEnd"/>
            <w:r w:rsidRPr="000C2084">
              <w:rPr>
                <w:rFonts w:asciiTheme="minorHAnsi" w:hAnsiTheme="minorHAnsi" w:cstheme="minorHAnsi"/>
                <w:sz w:val="18"/>
                <w:szCs w:val="18"/>
                <w:lang w:val="en-US" w:eastAsia="es-ES"/>
              </w:rPr>
              <w:t xml:space="preserve"> </w:t>
            </w:r>
            <w:proofErr w:type="spellStart"/>
            <w:r w:rsidRPr="000C2084">
              <w:rPr>
                <w:rFonts w:asciiTheme="minorHAnsi" w:hAnsiTheme="minorHAnsi" w:cstheme="minorHAnsi"/>
                <w:sz w:val="18"/>
                <w:szCs w:val="18"/>
                <w:lang w:val="en-US" w:eastAsia="es-ES"/>
              </w:rPr>
              <w:t>usluge</w:t>
            </w:r>
            <w:proofErr w:type="spellEnd"/>
            <w:r w:rsidRPr="000C2084">
              <w:rPr>
                <w:rFonts w:asciiTheme="minorHAnsi" w:hAnsiTheme="minorHAnsi" w:cstheme="minorHAnsi"/>
                <w:sz w:val="18"/>
                <w:szCs w:val="18"/>
                <w:lang w:val="en-US" w:eastAsia="es-ES"/>
              </w:rPr>
              <w:t xml:space="preserve">, </w:t>
            </w:r>
            <w:proofErr w:type="spellStart"/>
            <w:r w:rsidRPr="000C2084">
              <w:rPr>
                <w:rFonts w:asciiTheme="minorHAnsi" w:hAnsiTheme="minorHAnsi" w:cstheme="minorHAnsi"/>
                <w:sz w:val="18"/>
                <w:szCs w:val="18"/>
                <w:lang w:val="en-US" w:eastAsia="es-ES"/>
              </w:rPr>
              <w:t>Križevci</w:t>
            </w:r>
            <w:proofErr w:type="spellEnd"/>
          </w:p>
        </w:tc>
        <w:tc>
          <w:tcPr>
            <w:tcW w:w="0" w:type="auto"/>
            <w:vAlign w:val="center"/>
            <w:hideMark/>
          </w:tcPr>
          <w:p w14:paraId="4DB7918C" w14:textId="592C19FB" w:rsidR="00ED32F0" w:rsidRPr="000C2084" w:rsidRDefault="00021C63"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Reconstrucción y construcción de suministro de agua y alcantarillado en </w:t>
            </w:r>
            <w:proofErr w:type="spellStart"/>
            <w:r w:rsidRPr="000C2084">
              <w:rPr>
                <w:rFonts w:asciiTheme="minorHAnsi" w:hAnsiTheme="minorHAnsi" w:cstheme="minorHAnsi"/>
                <w:sz w:val="18"/>
                <w:szCs w:val="18"/>
                <w:lang w:eastAsia="es-ES"/>
              </w:rPr>
              <w:t>Križevci</w:t>
            </w:r>
            <w:proofErr w:type="spellEnd"/>
            <w:r w:rsidRPr="000C2084">
              <w:rPr>
                <w:rFonts w:asciiTheme="minorHAnsi" w:hAnsiTheme="minorHAnsi" w:cstheme="minorHAnsi"/>
                <w:sz w:val="18"/>
                <w:szCs w:val="18"/>
                <w:lang w:eastAsia="es-ES"/>
              </w:rPr>
              <w:t>.</w:t>
            </w:r>
          </w:p>
        </w:tc>
      </w:tr>
      <w:tr w:rsidR="00ED32F0" w:rsidRPr="007E16A2" w14:paraId="0BC8B031"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F6387CE" w14:textId="191A587E" w:rsidR="00ED32F0" w:rsidRPr="000C2084" w:rsidRDefault="0007152B" w:rsidP="005B1501">
            <w:pPr>
              <w:spacing w:after="0"/>
              <w:jc w:val="left"/>
              <w:rPr>
                <w:rFonts w:asciiTheme="minorHAnsi" w:hAnsiTheme="minorHAnsi" w:cstheme="minorHAnsi"/>
                <w:sz w:val="18"/>
                <w:szCs w:val="18"/>
                <w:lang w:val="en-US" w:eastAsia="es-ES"/>
              </w:rPr>
            </w:pPr>
            <w:proofErr w:type="spellStart"/>
            <w:r w:rsidRPr="000C2084">
              <w:rPr>
                <w:rFonts w:asciiTheme="minorHAnsi" w:hAnsiTheme="minorHAnsi" w:cstheme="minorHAnsi"/>
                <w:sz w:val="18"/>
                <w:szCs w:val="18"/>
                <w:lang w:val="en-US" w:eastAsia="es-ES"/>
              </w:rPr>
              <w:t>ViO</w:t>
            </w:r>
            <w:proofErr w:type="spellEnd"/>
            <w:r w:rsidRPr="000C2084">
              <w:rPr>
                <w:rFonts w:asciiTheme="minorHAnsi" w:hAnsiTheme="minorHAnsi" w:cstheme="minorHAnsi"/>
                <w:sz w:val="18"/>
                <w:szCs w:val="18"/>
                <w:lang w:val="en-US" w:eastAsia="es-ES"/>
              </w:rPr>
              <w:t xml:space="preserve"> </w:t>
            </w:r>
            <w:proofErr w:type="spellStart"/>
            <w:r w:rsidRPr="000C2084">
              <w:rPr>
                <w:rFonts w:asciiTheme="minorHAnsi" w:hAnsiTheme="minorHAnsi" w:cstheme="minorHAnsi"/>
                <w:sz w:val="18"/>
                <w:szCs w:val="18"/>
                <w:lang w:val="en-US" w:eastAsia="es-ES"/>
              </w:rPr>
              <w:t>Benkovac</w:t>
            </w:r>
            <w:proofErr w:type="spellEnd"/>
          </w:p>
        </w:tc>
        <w:tc>
          <w:tcPr>
            <w:tcW w:w="0" w:type="auto"/>
            <w:vAlign w:val="center"/>
            <w:hideMark/>
          </w:tcPr>
          <w:p w14:paraId="4AC7B377" w14:textId="1BD930AD" w:rsidR="00ED32F0" w:rsidRPr="000C2084" w:rsidRDefault="0007152B"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Construcción de la red de suministro de agua en </w:t>
            </w:r>
            <w:proofErr w:type="spellStart"/>
            <w:r w:rsidRPr="000C2084">
              <w:rPr>
                <w:rFonts w:asciiTheme="minorHAnsi" w:hAnsiTheme="minorHAnsi" w:cstheme="minorHAnsi"/>
                <w:sz w:val="18"/>
                <w:szCs w:val="18"/>
                <w:lang w:eastAsia="es-ES"/>
              </w:rPr>
              <w:t>Lepuri</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Bulić</w:t>
            </w:r>
            <w:proofErr w:type="spellEnd"/>
            <w:r w:rsidRPr="000C2084">
              <w:rPr>
                <w:rFonts w:asciiTheme="minorHAnsi" w:hAnsiTheme="minorHAnsi" w:cstheme="minorHAnsi"/>
                <w:sz w:val="18"/>
                <w:szCs w:val="18"/>
                <w:lang w:eastAsia="es-ES"/>
              </w:rPr>
              <w:t xml:space="preserve"> e </w:t>
            </w:r>
            <w:proofErr w:type="gramStart"/>
            <w:r w:rsidRPr="000C2084">
              <w:rPr>
                <w:rFonts w:asciiTheme="minorHAnsi" w:hAnsiTheme="minorHAnsi" w:cstheme="minorHAnsi"/>
                <w:sz w:val="18"/>
                <w:szCs w:val="18"/>
                <w:lang w:eastAsia="es-ES"/>
              </w:rPr>
              <w:t>Islam</w:t>
            </w:r>
            <w:proofErr w:type="gram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Grčki</w:t>
            </w:r>
            <w:proofErr w:type="spellEnd"/>
            <w:r w:rsidRPr="000C2084">
              <w:rPr>
                <w:rFonts w:asciiTheme="minorHAnsi" w:hAnsiTheme="minorHAnsi" w:cstheme="minorHAnsi"/>
                <w:sz w:val="18"/>
                <w:szCs w:val="18"/>
                <w:lang w:eastAsia="es-ES"/>
              </w:rPr>
              <w:t>.</w:t>
            </w:r>
          </w:p>
        </w:tc>
      </w:tr>
      <w:tr w:rsidR="00ED32F0" w:rsidRPr="007E16A2" w14:paraId="0C7A39EE"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D1BF7FB" w14:textId="6C3AF899" w:rsidR="00ED32F0" w:rsidRPr="000C2084" w:rsidRDefault="00C2428E" w:rsidP="005B1501">
            <w:pPr>
              <w:spacing w:after="0"/>
              <w:jc w:val="left"/>
              <w:rPr>
                <w:rFonts w:asciiTheme="minorHAnsi" w:hAnsiTheme="minorHAnsi" w:cstheme="minorHAnsi"/>
                <w:sz w:val="18"/>
                <w:szCs w:val="18"/>
                <w:lang w:val="en-US" w:eastAsia="es-ES"/>
              </w:rPr>
            </w:pPr>
            <w:proofErr w:type="spellStart"/>
            <w:r w:rsidRPr="000C2084">
              <w:rPr>
                <w:rFonts w:asciiTheme="minorHAnsi" w:hAnsiTheme="minorHAnsi" w:cstheme="minorHAnsi"/>
                <w:sz w:val="18"/>
                <w:szCs w:val="18"/>
                <w:lang w:val="en-US" w:eastAsia="es-ES"/>
              </w:rPr>
              <w:t>Vodovod</w:t>
            </w:r>
            <w:proofErr w:type="spellEnd"/>
            <w:r w:rsidRPr="000C2084">
              <w:rPr>
                <w:rFonts w:asciiTheme="minorHAnsi" w:hAnsiTheme="minorHAnsi" w:cstheme="minorHAnsi"/>
                <w:sz w:val="18"/>
                <w:szCs w:val="18"/>
                <w:lang w:val="en-US" w:eastAsia="es-ES"/>
              </w:rPr>
              <w:t xml:space="preserve"> Zadar</w:t>
            </w:r>
          </w:p>
        </w:tc>
        <w:tc>
          <w:tcPr>
            <w:tcW w:w="0" w:type="auto"/>
            <w:vAlign w:val="center"/>
            <w:hideMark/>
          </w:tcPr>
          <w:p w14:paraId="522F0F6E" w14:textId="5C7AF5B1" w:rsidR="00ED32F0" w:rsidRPr="000C2084" w:rsidRDefault="00C2428E"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Ampliación y reconstrucción del sistema de suministro de agua en el condado de </w:t>
            </w:r>
            <w:proofErr w:type="spellStart"/>
            <w:r w:rsidRPr="000C2084">
              <w:rPr>
                <w:rFonts w:asciiTheme="minorHAnsi" w:hAnsiTheme="minorHAnsi" w:cstheme="minorHAnsi"/>
                <w:sz w:val="18"/>
                <w:szCs w:val="18"/>
                <w:lang w:eastAsia="es-ES"/>
              </w:rPr>
              <w:t>Zadar</w:t>
            </w:r>
            <w:proofErr w:type="spellEnd"/>
            <w:r w:rsidRPr="000C2084">
              <w:rPr>
                <w:rFonts w:asciiTheme="minorHAnsi" w:hAnsiTheme="minorHAnsi" w:cstheme="minorHAnsi"/>
                <w:sz w:val="18"/>
                <w:szCs w:val="18"/>
                <w:lang w:eastAsia="es-ES"/>
              </w:rPr>
              <w:t>.</w:t>
            </w:r>
          </w:p>
        </w:tc>
      </w:tr>
      <w:tr w:rsidR="00ED32F0" w:rsidRPr="007E16A2" w14:paraId="5ED5BFCE"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0D1B41" w14:textId="16663FB9" w:rsidR="00ED32F0" w:rsidRPr="000C2084" w:rsidRDefault="00C2428E" w:rsidP="005B1501">
            <w:pPr>
              <w:spacing w:after="0"/>
              <w:jc w:val="left"/>
              <w:rPr>
                <w:rFonts w:asciiTheme="minorHAnsi" w:hAnsiTheme="minorHAnsi" w:cstheme="minorHAnsi"/>
                <w:sz w:val="18"/>
                <w:szCs w:val="18"/>
                <w:lang w:eastAsia="es-ES"/>
              </w:rPr>
            </w:pPr>
            <w:proofErr w:type="spellStart"/>
            <w:r w:rsidRPr="000C2084">
              <w:rPr>
                <w:rFonts w:asciiTheme="minorHAnsi" w:hAnsiTheme="minorHAnsi" w:cstheme="minorHAnsi"/>
                <w:sz w:val="18"/>
                <w:szCs w:val="18"/>
                <w:lang w:eastAsia="es-ES"/>
              </w:rPr>
              <w:t>Metković</w:t>
            </w:r>
            <w:proofErr w:type="spellEnd"/>
          </w:p>
        </w:tc>
        <w:tc>
          <w:tcPr>
            <w:tcW w:w="0" w:type="auto"/>
            <w:vAlign w:val="center"/>
            <w:hideMark/>
          </w:tcPr>
          <w:p w14:paraId="30AB852D" w14:textId="3EBAB176" w:rsidR="00ED32F0" w:rsidRPr="000C2084" w:rsidRDefault="00C2428E"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Construcción del sistema de suministro de agua en la calle </w:t>
            </w:r>
            <w:proofErr w:type="spellStart"/>
            <w:r w:rsidRPr="000C2084">
              <w:rPr>
                <w:rFonts w:asciiTheme="minorHAnsi" w:hAnsiTheme="minorHAnsi" w:cstheme="minorHAnsi"/>
                <w:sz w:val="18"/>
                <w:szCs w:val="18"/>
                <w:lang w:eastAsia="es-ES"/>
              </w:rPr>
              <w:t>Dubrovačka</w:t>
            </w:r>
            <w:proofErr w:type="spellEnd"/>
            <w:r w:rsidRPr="000C2084">
              <w:rPr>
                <w:rFonts w:asciiTheme="minorHAnsi" w:hAnsiTheme="minorHAnsi" w:cstheme="minorHAnsi"/>
                <w:sz w:val="18"/>
                <w:szCs w:val="18"/>
                <w:lang w:eastAsia="es-ES"/>
              </w:rPr>
              <w:t xml:space="preserve">, en </w:t>
            </w:r>
            <w:proofErr w:type="spellStart"/>
            <w:r w:rsidRPr="000C2084">
              <w:rPr>
                <w:rFonts w:asciiTheme="minorHAnsi" w:hAnsiTheme="minorHAnsi" w:cstheme="minorHAnsi"/>
                <w:sz w:val="18"/>
                <w:szCs w:val="18"/>
                <w:lang w:eastAsia="es-ES"/>
              </w:rPr>
              <w:t>Metković</w:t>
            </w:r>
            <w:proofErr w:type="spellEnd"/>
            <w:r w:rsidRPr="000C2084">
              <w:rPr>
                <w:rFonts w:asciiTheme="minorHAnsi" w:hAnsiTheme="minorHAnsi" w:cstheme="minorHAnsi"/>
                <w:sz w:val="18"/>
                <w:szCs w:val="18"/>
                <w:lang w:eastAsia="es-ES"/>
              </w:rPr>
              <w:t>.</w:t>
            </w:r>
          </w:p>
        </w:tc>
      </w:tr>
      <w:tr w:rsidR="00ED32F0" w:rsidRPr="007E16A2" w14:paraId="67EFA529"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92C32E7" w14:textId="747E4A70" w:rsidR="00ED32F0" w:rsidRPr="000C2084" w:rsidRDefault="00C2428E" w:rsidP="005B1501">
            <w:pPr>
              <w:spacing w:after="0"/>
              <w:jc w:val="left"/>
              <w:rPr>
                <w:rFonts w:asciiTheme="minorHAnsi" w:hAnsiTheme="minorHAnsi" w:cstheme="minorHAnsi"/>
                <w:sz w:val="18"/>
                <w:szCs w:val="18"/>
                <w:lang w:val="en-US" w:eastAsia="es-ES"/>
              </w:rPr>
            </w:pPr>
            <w:r w:rsidRPr="000C2084">
              <w:rPr>
                <w:rFonts w:asciiTheme="minorHAnsi" w:hAnsiTheme="minorHAnsi" w:cstheme="minorHAnsi"/>
                <w:sz w:val="18"/>
                <w:szCs w:val="18"/>
                <w:lang w:val="en-US" w:eastAsia="es-ES"/>
              </w:rPr>
              <w:t>VIOCK</w:t>
            </w:r>
          </w:p>
        </w:tc>
        <w:tc>
          <w:tcPr>
            <w:tcW w:w="0" w:type="auto"/>
            <w:vAlign w:val="center"/>
            <w:hideMark/>
          </w:tcPr>
          <w:p w14:paraId="6A3C3ACF" w14:textId="06AE0BEC" w:rsidR="00ED32F0" w:rsidRPr="000C2084" w:rsidRDefault="008604D2"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Construcción de sistemas de alcantarillado y suministro de agua en </w:t>
            </w:r>
            <w:proofErr w:type="spellStart"/>
            <w:r w:rsidRPr="000C2084">
              <w:rPr>
                <w:rFonts w:asciiTheme="minorHAnsi" w:hAnsiTheme="minorHAnsi" w:cstheme="minorHAnsi"/>
                <w:sz w:val="18"/>
                <w:szCs w:val="18"/>
                <w:lang w:eastAsia="es-ES"/>
              </w:rPr>
              <w:t>Cetinska</w:t>
            </w:r>
            <w:proofErr w:type="spellEnd"/>
            <w:r w:rsidRPr="000C2084">
              <w:rPr>
                <w:rFonts w:asciiTheme="minorHAnsi" w:hAnsiTheme="minorHAnsi" w:cstheme="minorHAnsi"/>
                <w:sz w:val="18"/>
                <w:szCs w:val="18"/>
                <w:lang w:eastAsia="es-ES"/>
              </w:rPr>
              <w:t xml:space="preserve"> - </w:t>
            </w:r>
            <w:proofErr w:type="spellStart"/>
            <w:r w:rsidRPr="000C2084">
              <w:rPr>
                <w:rFonts w:asciiTheme="minorHAnsi" w:hAnsiTheme="minorHAnsi" w:cstheme="minorHAnsi"/>
                <w:sz w:val="18"/>
                <w:szCs w:val="18"/>
                <w:lang w:eastAsia="es-ES"/>
              </w:rPr>
              <w:t>Hrvace</w:t>
            </w:r>
            <w:proofErr w:type="spellEnd"/>
            <w:r w:rsidRPr="000C2084">
              <w:rPr>
                <w:rFonts w:asciiTheme="minorHAnsi" w:hAnsiTheme="minorHAnsi" w:cstheme="minorHAnsi"/>
                <w:sz w:val="18"/>
                <w:szCs w:val="18"/>
                <w:lang w:eastAsia="es-ES"/>
              </w:rPr>
              <w:t xml:space="preserve"> y </w:t>
            </w:r>
            <w:proofErr w:type="spellStart"/>
            <w:r w:rsidRPr="000C2084">
              <w:rPr>
                <w:rFonts w:asciiTheme="minorHAnsi" w:hAnsiTheme="minorHAnsi" w:cstheme="minorHAnsi"/>
                <w:sz w:val="18"/>
                <w:szCs w:val="18"/>
                <w:lang w:eastAsia="es-ES"/>
              </w:rPr>
              <w:t>Trilj</w:t>
            </w:r>
            <w:proofErr w:type="spellEnd"/>
            <w:r w:rsidRPr="000C2084">
              <w:rPr>
                <w:rFonts w:asciiTheme="minorHAnsi" w:hAnsiTheme="minorHAnsi" w:cstheme="minorHAnsi"/>
                <w:sz w:val="18"/>
                <w:szCs w:val="18"/>
                <w:lang w:eastAsia="es-ES"/>
              </w:rPr>
              <w:t>.</w:t>
            </w:r>
          </w:p>
        </w:tc>
      </w:tr>
      <w:tr w:rsidR="009F5EA2" w:rsidRPr="007E16A2" w14:paraId="4591256F"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06A4C4" w14:textId="50BC3A5C" w:rsidR="009F5EA2" w:rsidRPr="000C2084" w:rsidRDefault="009F5EA2"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w:t>
            </w:r>
            <w:proofErr w:type="spellStart"/>
            <w:r w:rsidRPr="000C2084">
              <w:rPr>
                <w:rFonts w:asciiTheme="minorHAnsi" w:hAnsiTheme="minorHAnsi" w:cstheme="minorHAnsi"/>
                <w:sz w:val="18"/>
                <w:szCs w:val="18"/>
                <w:lang w:val="es-ES" w:eastAsia="es-ES"/>
              </w:rPr>
              <w:t>Komunalac</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d.o.o</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Biograd</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na</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Moru</w:t>
            </w:r>
            <w:proofErr w:type="spellEnd"/>
          </w:p>
        </w:tc>
        <w:tc>
          <w:tcPr>
            <w:tcW w:w="0" w:type="auto"/>
            <w:vAlign w:val="center"/>
          </w:tcPr>
          <w:p w14:paraId="2DEBAE79" w14:textId="4A4366D9" w:rsidR="009F5EA2" w:rsidRPr="000C2084" w:rsidRDefault="009F5EA2"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Ampliación de la infraestructura de suministro de agua en </w:t>
            </w:r>
            <w:proofErr w:type="spellStart"/>
            <w:r w:rsidRPr="000C2084">
              <w:rPr>
                <w:rFonts w:asciiTheme="minorHAnsi" w:hAnsiTheme="minorHAnsi" w:cstheme="minorHAnsi"/>
                <w:sz w:val="18"/>
                <w:szCs w:val="18"/>
                <w:lang w:eastAsia="es-ES"/>
              </w:rPr>
              <w:t>Biograd</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na</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Moru</w:t>
            </w:r>
            <w:proofErr w:type="spellEnd"/>
            <w:r w:rsidRPr="000C2084">
              <w:rPr>
                <w:rFonts w:asciiTheme="minorHAnsi" w:hAnsiTheme="minorHAnsi" w:cstheme="minorHAnsi"/>
                <w:sz w:val="18"/>
                <w:szCs w:val="18"/>
                <w:lang w:eastAsia="es-ES"/>
              </w:rPr>
              <w:t>.</w:t>
            </w:r>
          </w:p>
        </w:tc>
      </w:tr>
      <w:tr w:rsidR="009F5EA2" w:rsidRPr="007E16A2" w14:paraId="4E8C3E33"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C2B1E63" w14:textId="7C1105F3" w:rsidR="009F5EA2" w:rsidRPr="000C2084" w:rsidRDefault="009F5EA2"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Vodovod</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Povljana</w:t>
            </w:r>
            <w:proofErr w:type="spellEnd"/>
          </w:p>
        </w:tc>
        <w:tc>
          <w:tcPr>
            <w:tcW w:w="0" w:type="auto"/>
            <w:vAlign w:val="center"/>
          </w:tcPr>
          <w:p w14:paraId="6D39695E" w14:textId="596D889C" w:rsidR="009F5EA2" w:rsidRPr="000C2084" w:rsidRDefault="009F5EA2"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Mejora del sistema de suministro de agua y alcantarillado en </w:t>
            </w:r>
            <w:proofErr w:type="spellStart"/>
            <w:r w:rsidRPr="000C2084">
              <w:rPr>
                <w:rFonts w:asciiTheme="minorHAnsi" w:hAnsiTheme="minorHAnsi" w:cstheme="minorHAnsi"/>
                <w:sz w:val="18"/>
                <w:szCs w:val="18"/>
                <w:lang w:eastAsia="es-ES"/>
              </w:rPr>
              <w:t>Povljana</w:t>
            </w:r>
            <w:proofErr w:type="spellEnd"/>
            <w:r w:rsidRPr="000C2084">
              <w:rPr>
                <w:rFonts w:asciiTheme="minorHAnsi" w:hAnsiTheme="minorHAnsi" w:cstheme="minorHAnsi"/>
                <w:sz w:val="18"/>
                <w:szCs w:val="18"/>
                <w:lang w:eastAsia="es-ES"/>
              </w:rPr>
              <w:t>.</w:t>
            </w:r>
          </w:p>
        </w:tc>
      </w:tr>
      <w:tr w:rsidR="009F5EA2" w:rsidRPr="007E16A2" w14:paraId="3218719B"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41684" w14:textId="6FCEEFCA" w:rsidR="009F5EA2" w:rsidRPr="000C2084" w:rsidRDefault="009F5EA2"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Pragrande</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d.o.o</w:t>
            </w:r>
            <w:proofErr w:type="spellEnd"/>
            <w:r w:rsidRPr="000C2084">
              <w:rPr>
                <w:rFonts w:asciiTheme="minorHAnsi" w:hAnsiTheme="minorHAnsi" w:cstheme="minorHAnsi"/>
                <w:sz w:val="18"/>
                <w:szCs w:val="18"/>
                <w:lang w:val="es-ES" w:eastAsia="es-ES"/>
              </w:rPr>
              <w:t>.</w:t>
            </w:r>
          </w:p>
        </w:tc>
        <w:tc>
          <w:tcPr>
            <w:tcW w:w="0" w:type="auto"/>
            <w:vAlign w:val="center"/>
          </w:tcPr>
          <w:p w14:paraId="5540CD7F" w14:textId="02462C64" w:rsidR="009F5EA2" w:rsidRPr="000C2084" w:rsidRDefault="009F5EA2"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Construcción del sistema de alcantarillado en </w:t>
            </w:r>
            <w:proofErr w:type="spellStart"/>
            <w:r w:rsidRPr="000C2084">
              <w:rPr>
                <w:rFonts w:asciiTheme="minorHAnsi" w:hAnsiTheme="minorHAnsi" w:cstheme="minorHAnsi"/>
                <w:sz w:val="18"/>
                <w:szCs w:val="18"/>
                <w:lang w:eastAsia="es-ES"/>
              </w:rPr>
              <w:t>Dolinka</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Valdebek</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Busoler</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Veli</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Vrh</w:t>
            </w:r>
            <w:proofErr w:type="spellEnd"/>
            <w:r w:rsidRPr="000C2084">
              <w:rPr>
                <w:rFonts w:asciiTheme="minorHAnsi" w:hAnsiTheme="minorHAnsi" w:cstheme="minorHAnsi"/>
                <w:sz w:val="18"/>
                <w:szCs w:val="18"/>
                <w:lang w:eastAsia="es-ES"/>
              </w:rPr>
              <w:t xml:space="preserve"> y </w:t>
            </w:r>
            <w:proofErr w:type="spellStart"/>
            <w:r w:rsidRPr="000C2084">
              <w:rPr>
                <w:rFonts w:asciiTheme="minorHAnsi" w:hAnsiTheme="minorHAnsi" w:cstheme="minorHAnsi"/>
                <w:sz w:val="18"/>
                <w:szCs w:val="18"/>
                <w:lang w:eastAsia="es-ES"/>
              </w:rPr>
              <w:t>Šijana</w:t>
            </w:r>
            <w:proofErr w:type="spellEnd"/>
            <w:r w:rsidRPr="000C2084">
              <w:rPr>
                <w:rFonts w:asciiTheme="minorHAnsi" w:hAnsiTheme="minorHAnsi" w:cstheme="minorHAnsi"/>
                <w:sz w:val="18"/>
                <w:szCs w:val="18"/>
                <w:lang w:eastAsia="es-ES"/>
              </w:rPr>
              <w:t>.</w:t>
            </w:r>
          </w:p>
        </w:tc>
      </w:tr>
      <w:tr w:rsidR="009F5EA2" w:rsidRPr="007E16A2" w14:paraId="41E213F3"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1B7445D" w14:textId="62F8600A" w:rsidR="009F5EA2" w:rsidRPr="000C2084" w:rsidRDefault="009F5EA2"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 xml:space="preserve">KD VIK </w:t>
            </w:r>
            <w:proofErr w:type="spellStart"/>
            <w:r w:rsidRPr="000C2084">
              <w:rPr>
                <w:rFonts w:asciiTheme="minorHAnsi" w:hAnsiTheme="minorHAnsi" w:cstheme="minorHAnsi"/>
                <w:sz w:val="18"/>
                <w:szCs w:val="18"/>
                <w:lang w:val="es-ES" w:eastAsia="es-ES"/>
              </w:rPr>
              <w:t>d.o.o</w:t>
            </w:r>
            <w:proofErr w:type="spellEnd"/>
            <w:r w:rsidRPr="000C2084">
              <w:rPr>
                <w:rFonts w:asciiTheme="minorHAnsi" w:hAnsiTheme="minorHAnsi" w:cstheme="minorHAnsi"/>
                <w:sz w:val="18"/>
                <w:szCs w:val="18"/>
                <w:lang w:val="es-ES" w:eastAsia="es-ES"/>
              </w:rPr>
              <w:t>., Rijeka</w:t>
            </w:r>
          </w:p>
        </w:tc>
        <w:tc>
          <w:tcPr>
            <w:tcW w:w="0" w:type="auto"/>
            <w:vAlign w:val="center"/>
          </w:tcPr>
          <w:p w14:paraId="1EC68B7E" w14:textId="2CB89C62" w:rsidR="009F5EA2" w:rsidRPr="000C2084" w:rsidRDefault="009F5EA2"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Construcción de infraestructura comunitaria en Rijeka </w:t>
            </w:r>
            <w:r w:rsidR="00F65EE6" w:rsidRPr="000C2084">
              <w:rPr>
                <w:rFonts w:asciiTheme="minorHAnsi" w:hAnsiTheme="minorHAnsi" w:cstheme="minorHAnsi"/>
                <w:sz w:val="18"/>
                <w:szCs w:val="18"/>
                <w:lang w:eastAsia="es-ES"/>
              </w:rPr>
              <w:t>(f</w:t>
            </w:r>
            <w:r w:rsidRPr="000C2084">
              <w:rPr>
                <w:rFonts w:asciiTheme="minorHAnsi" w:hAnsiTheme="minorHAnsi" w:cstheme="minorHAnsi"/>
                <w:sz w:val="18"/>
                <w:szCs w:val="18"/>
                <w:lang w:eastAsia="es-ES"/>
              </w:rPr>
              <w:t>ase II</w:t>
            </w:r>
            <w:r w:rsidR="00F65EE6" w:rsidRPr="000C2084">
              <w:rPr>
                <w:rFonts w:asciiTheme="minorHAnsi" w:hAnsiTheme="minorHAnsi" w:cstheme="minorHAnsi"/>
                <w:sz w:val="18"/>
                <w:szCs w:val="18"/>
                <w:lang w:eastAsia="es-ES"/>
              </w:rPr>
              <w:t>).</w:t>
            </w:r>
          </w:p>
        </w:tc>
      </w:tr>
      <w:tr w:rsidR="009F5EA2" w:rsidRPr="007E16A2" w14:paraId="1F3B405C"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4E540" w14:textId="353C3AC4" w:rsidR="009F5EA2" w:rsidRPr="000C2084" w:rsidRDefault="009336FD"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Odvodnja</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Rovinj</w:t>
            </w:r>
            <w:proofErr w:type="spellEnd"/>
          </w:p>
        </w:tc>
        <w:tc>
          <w:tcPr>
            <w:tcW w:w="0" w:type="auto"/>
            <w:vAlign w:val="center"/>
          </w:tcPr>
          <w:p w14:paraId="7B9BB352" w14:textId="2F22889C" w:rsidR="009F5EA2" w:rsidRPr="000C2084" w:rsidRDefault="009336FD"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Construcción/Reconstrucción del sistema de alcantarillado sanitario en la ciudad de </w:t>
            </w:r>
            <w:proofErr w:type="spellStart"/>
            <w:r w:rsidRPr="000C2084">
              <w:rPr>
                <w:rFonts w:asciiTheme="minorHAnsi" w:hAnsiTheme="minorHAnsi" w:cstheme="minorHAnsi"/>
                <w:sz w:val="18"/>
                <w:szCs w:val="18"/>
                <w:lang w:eastAsia="es-ES"/>
              </w:rPr>
              <w:t>Rovinj</w:t>
            </w:r>
            <w:proofErr w:type="spellEnd"/>
            <w:r w:rsidRPr="000C2084">
              <w:rPr>
                <w:rFonts w:asciiTheme="minorHAnsi" w:hAnsiTheme="minorHAnsi" w:cstheme="minorHAnsi"/>
                <w:sz w:val="18"/>
                <w:szCs w:val="18"/>
                <w:lang w:eastAsia="es-ES"/>
              </w:rPr>
              <w:t xml:space="preserve"> (zona </w:t>
            </w:r>
            <w:proofErr w:type="spellStart"/>
            <w:r w:rsidRPr="000C2084">
              <w:rPr>
                <w:rFonts w:asciiTheme="minorHAnsi" w:hAnsiTheme="minorHAnsi" w:cstheme="minorHAnsi"/>
                <w:sz w:val="18"/>
                <w:szCs w:val="18"/>
                <w:lang w:eastAsia="es-ES"/>
              </w:rPr>
              <w:t>Salteria</w:t>
            </w:r>
            <w:proofErr w:type="spellEnd"/>
            <w:r w:rsidRPr="000C2084">
              <w:rPr>
                <w:rFonts w:asciiTheme="minorHAnsi" w:hAnsiTheme="minorHAnsi" w:cstheme="minorHAnsi"/>
                <w:sz w:val="18"/>
                <w:szCs w:val="18"/>
                <w:lang w:eastAsia="es-ES"/>
              </w:rPr>
              <w:t xml:space="preserve">, calles M. </w:t>
            </w:r>
            <w:proofErr w:type="spellStart"/>
            <w:r w:rsidRPr="000C2084">
              <w:rPr>
                <w:rFonts w:asciiTheme="minorHAnsi" w:hAnsiTheme="minorHAnsi" w:cstheme="minorHAnsi"/>
                <w:sz w:val="18"/>
                <w:szCs w:val="18"/>
                <w:lang w:eastAsia="es-ES"/>
              </w:rPr>
              <w:t>Laginje</w:t>
            </w:r>
            <w:proofErr w:type="spellEnd"/>
            <w:r w:rsidRPr="000C2084">
              <w:rPr>
                <w:rFonts w:asciiTheme="minorHAnsi" w:hAnsiTheme="minorHAnsi" w:cstheme="minorHAnsi"/>
                <w:sz w:val="18"/>
                <w:szCs w:val="18"/>
                <w:lang w:eastAsia="es-ES"/>
              </w:rPr>
              <w:t xml:space="preserve">, M. Balote y </w:t>
            </w:r>
            <w:proofErr w:type="spellStart"/>
            <w:r w:rsidRPr="000C2084">
              <w:rPr>
                <w:rFonts w:asciiTheme="minorHAnsi" w:hAnsiTheme="minorHAnsi" w:cstheme="minorHAnsi"/>
                <w:sz w:val="18"/>
                <w:szCs w:val="18"/>
                <w:lang w:eastAsia="es-ES"/>
              </w:rPr>
              <w:t>Carducci</w:t>
            </w:r>
            <w:proofErr w:type="spellEnd"/>
            <w:r w:rsidRPr="000C2084">
              <w:rPr>
                <w:rFonts w:asciiTheme="minorHAnsi" w:hAnsiTheme="minorHAnsi" w:cstheme="minorHAnsi"/>
                <w:sz w:val="18"/>
                <w:szCs w:val="18"/>
                <w:lang w:eastAsia="es-ES"/>
              </w:rPr>
              <w:t>)</w:t>
            </w:r>
            <w:r w:rsidR="00335E1E" w:rsidRPr="000C2084">
              <w:rPr>
                <w:rFonts w:asciiTheme="minorHAnsi" w:hAnsiTheme="minorHAnsi" w:cstheme="minorHAnsi"/>
                <w:sz w:val="18"/>
                <w:szCs w:val="18"/>
                <w:lang w:eastAsia="es-ES"/>
              </w:rPr>
              <w:t>.</w:t>
            </w:r>
          </w:p>
        </w:tc>
      </w:tr>
      <w:tr w:rsidR="00335E1E" w:rsidRPr="007E16A2" w14:paraId="435D4AB3"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7D4CEC9" w14:textId="144CCA4E" w:rsidR="00335E1E" w:rsidRPr="000C2084" w:rsidRDefault="00335E1E"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Istarski</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vodozaštitni</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sustav</w:t>
            </w:r>
            <w:proofErr w:type="spellEnd"/>
          </w:p>
        </w:tc>
        <w:tc>
          <w:tcPr>
            <w:tcW w:w="0" w:type="auto"/>
            <w:vAlign w:val="center"/>
          </w:tcPr>
          <w:p w14:paraId="3A0DED81" w14:textId="38271630" w:rsidR="00335E1E" w:rsidRPr="000C2084" w:rsidRDefault="00335E1E"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Sistema de alcantarillado sanitario para las localidades de </w:t>
            </w:r>
            <w:proofErr w:type="spellStart"/>
            <w:r w:rsidRPr="000C2084">
              <w:rPr>
                <w:rFonts w:asciiTheme="minorHAnsi" w:hAnsiTheme="minorHAnsi" w:cstheme="minorHAnsi"/>
                <w:sz w:val="18"/>
                <w:szCs w:val="18"/>
                <w:lang w:eastAsia="es-ES"/>
              </w:rPr>
              <w:t>Cerovlje</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Pazinski</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Novaki</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Previž</w:t>
            </w:r>
            <w:proofErr w:type="spellEnd"/>
            <w:r w:rsidRPr="000C2084">
              <w:rPr>
                <w:rFonts w:asciiTheme="minorHAnsi" w:hAnsiTheme="minorHAnsi" w:cstheme="minorHAnsi"/>
                <w:sz w:val="18"/>
                <w:szCs w:val="18"/>
                <w:lang w:eastAsia="es-ES"/>
              </w:rPr>
              <w:t xml:space="preserve"> y </w:t>
            </w:r>
            <w:proofErr w:type="spellStart"/>
            <w:r w:rsidRPr="000C2084">
              <w:rPr>
                <w:rFonts w:asciiTheme="minorHAnsi" w:hAnsiTheme="minorHAnsi" w:cstheme="minorHAnsi"/>
                <w:sz w:val="18"/>
                <w:szCs w:val="18"/>
                <w:lang w:eastAsia="es-ES"/>
              </w:rPr>
              <w:t>Lovrečići</w:t>
            </w:r>
            <w:proofErr w:type="spellEnd"/>
            <w:r w:rsidRPr="000C2084">
              <w:rPr>
                <w:rFonts w:asciiTheme="minorHAnsi" w:hAnsiTheme="minorHAnsi" w:cstheme="minorHAnsi"/>
                <w:sz w:val="18"/>
                <w:szCs w:val="18"/>
                <w:lang w:eastAsia="es-ES"/>
              </w:rPr>
              <w:t>.</w:t>
            </w:r>
          </w:p>
        </w:tc>
      </w:tr>
      <w:tr w:rsidR="00335E1E" w:rsidRPr="007E16A2" w14:paraId="7CBC9B0B"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436C79E" w14:textId="6BA0FD28" w:rsidR="00335E1E" w:rsidRPr="000C2084" w:rsidRDefault="001C14DC"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Usluga</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Gospić</w:t>
            </w:r>
            <w:proofErr w:type="spellEnd"/>
          </w:p>
        </w:tc>
        <w:tc>
          <w:tcPr>
            <w:tcW w:w="0" w:type="auto"/>
            <w:vAlign w:val="center"/>
          </w:tcPr>
          <w:p w14:paraId="2494D503" w14:textId="0900A0FD" w:rsidR="00335E1E" w:rsidRPr="000C2084" w:rsidRDefault="001C14DC"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Reconstrucción y ampliación del sistema de suministro de agua en </w:t>
            </w:r>
            <w:proofErr w:type="spellStart"/>
            <w:r w:rsidRPr="000C2084">
              <w:rPr>
                <w:rFonts w:asciiTheme="minorHAnsi" w:hAnsiTheme="minorHAnsi" w:cstheme="minorHAnsi"/>
                <w:sz w:val="18"/>
                <w:szCs w:val="18"/>
                <w:lang w:eastAsia="es-ES"/>
              </w:rPr>
              <w:t>Gospić</w:t>
            </w:r>
            <w:proofErr w:type="spellEnd"/>
            <w:r w:rsidRPr="000C2084">
              <w:rPr>
                <w:rFonts w:asciiTheme="minorHAnsi" w:hAnsiTheme="minorHAnsi" w:cstheme="minorHAnsi"/>
                <w:sz w:val="18"/>
                <w:szCs w:val="18"/>
                <w:lang w:eastAsia="es-ES"/>
              </w:rPr>
              <w:t xml:space="preserve"> y su periferia.</w:t>
            </w:r>
          </w:p>
        </w:tc>
      </w:tr>
      <w:tr w:rsidR="001C14DC" w:rsidRPr="007E16A2" w14:paraId="6B431A27"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DE3105" w14:textId="039C175A" w:rsidR="001C14DC" w:rsidRPr="000C2084" w:rsidRDefault="001C14DC"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Baranjski</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vodovod</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d.o.o</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Beli</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Manastir</w:t>
            </w:r>
            <w:proofErr w:type="spellEnd"/>
          </w:p>
        </w:tc>
        <w:tc>
          <w:tcPr>
            <w:tcW w:w="0" w:type="auto"/>
            <w:vAlign w:val="center"/>
          </w:tcPr>
          <w:p w14:paraId="4C0B5EDD" w14:textId="75AEFF9A" w:rsidR="001C14DC" w:rsidRPr="000C2084" w:rsidRDefault="004A6CF6"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Construcción de una parte del sistema de suministro de agua público en el norte de </w:t>
            </w:r>
            <w:proofErr w:type="spellStart"/>
            <w:r w:rsidRPr="000C2084">
              <w:rPr>
                <w:rFonts w:asciiTheme="minorHAnsi" w:hAnsiTheme="minorHAnsi" w:cstheme="minorHAnsi"/>
                <w:sz w:val="18"/>
                <w:szCs w:val="18"/>
                <w:lang w:eastAsia="es-ES"/>
              </w:rPr>
              <w:t>Baranja</w:t>
            </w:r>
            <w:proofErr w:type="spellEnd"/>
            <w:r w:rsidRPr="000C2084">
              <w:rPr>
                <w:rFonts w:asciiTheme="minorHAnsi" w:hAnsiTheme="minorHAnsi" w:cstheme="minorHAnsi"/>
                <w:sz w:val="18"/>
                <w:szCs w:val="18"/>
                <w:lang w:eastAsia="es-ES"/>
              </w:rPr>
              <w:t>.</w:t>
            </w:r>
          </w:p>
        </w:tc>
      </w:tr>
      <w:tr w:rsidR="001C14DC" w:rsidRPr="007E16A2" w14:paraId="4DA4E36B"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D0088D" w14:textId="65C544A2" w:rsidR="001C14DC" w:rsidRPr="000C2084" w:rsidRDefault="001C14DC"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Koprivničke</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vode</w:t>
            </w:r>
            <w:proofErr w:type="spellEnd"/>
          </w:p>
        </w:tc>
        <w:tc>
          <w:tcPr>
            <w:tcW w:w="0" w:type="auto"/>
            <w:vAlign w:val="center"/>
          </w:tcPr>
          <w:p w14:paraId="4AE4FC03" w14:textId="766B0FF8" w:rsidR="001C14DC" w:rsidRPr="000C2084" w:rsidRDefault="004A6CF6"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Mejora de la infraestructura de agua y alcantarillado en el área de servicio de </w:t>
            </w:r>
            <w:proofErr w:type="spellStart"/>
            <w:r w:rsidRPr="000C2084">
              <w:rPr>
                <w:rFonts w:asciiTheme="minorHAnsi" w:hAnsiTheme="minorHAnsi" w:cstheme="minorHAnsi"/>
                <w:sz w:val="18"/>
                <w:szCs w:val="18"/>
                <w:lang w:eastAsia="es-ES"/>
              </w:rPr>
              <w:t>Koprivni</w:t>
            </w:r>
            <w:proofErr w:type="spellEnd"/>
            <w:r w:rsidRPr="000C2084">
              <w:rPr>
                <w:rFonts w:asciiTheme="minorHAnsi" w:hAnsiTheme="minorHAnsi" w:cstheme="minorHAnsi"/>
                <w:sz w:val="18"/>
                <w:szCs w:val="18"/>
                <w:lang w:eastAsia="es-ES"/>
              </w:rPr>
              <w:t>.</w:t>
            </w:r>
          </w:p>
        </w:tc>
      </w:tr>
      <w:tr w:rsidR="001C14DC" w:rsidRPr="007E16A2" w14:paraId="694BADCC"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2CAD1C" w14:textId="1980702B" w:rsidR="001C14DC" w:rsidRPr="000C2084" w:rsidRDefault="001C14DC"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Vodovod</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d.o.o</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Makarska</w:t>
            </w:r>
            <w:proofErr w:type="spellEnd"/>
          </w:p>
        </w:tc>
        <w:tc>
          <w:tcPr>
            <w:tcW w:w="0" w:type="auto"/>
            <w:vAlign w:val="center"/>
          </w:tcPr>
          <w:p w14:paraId="38F9FC2A" w14:textId="29306B7C" w:rsidR="001C14DC" w:rsidRPr="000C2084" w:rsidRDefault="004A6CF6"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Construcción de pequeñas partes del sistema de suministro de agua y alcantarillado en </w:t>
            </w:r>
            <w:proofErr w:type="spellStart"/>
            <w:r w:rsidRPr="000C2084">
              <w:rPr>
                <w:rFonts w:asciiTheme="minorHAnsi" w:hAnsiTheme="minorHAnsi" w:cstheme="minorHAnsi"/>
                <w:sz w:val="18"/>
                <w:szCs w:val="18"/>
                <w:lang w:eastAsia="es-ES"/>
              </w:rPr>
              <w:t>Makarska</w:t>
            </w:r>
            <w:proofErr w:type="spellEnd"/>
            <w:r w:rsidRPr="000C2084">
              <w:rPr>
                <w:rFonts w:asciiTheme="minorHAnsi" w:hAnsiTheme="minorHAnsi" w:cstheme="minorHAnsi"/>
                <w:sz w:val="18"/>
                <w:szCs w:val="18"/>
                <w:lang w:eastAsia="es-ES"/>
              </w:rPr>
              <w:t>.</w:t>
            </w:r>
          </w:p>
        </w:tc>
      </w:tr>
      <w:tr w:rsidR="001C14DC" w:rsidRPr="007E16A2" w14:paraId="495891D3"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879D0B" w14:textId="3CDEACB5" w:rsidR="001C14DC" w:rsidRPr="000C2084" w:rsidRDefault="001C14DC"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Vodovod</w:t>
            </w:r>
            <w:proofErr w:type="spellEnd"/>
            <w:r w:rsidRPr="000C2084">
              <w:rPr>
                <w:rFonts w:asciiTheme="minorHAnsi" w:hAnsiTheme="minorHAnsi" w:cstheme="minorHAnsi"/>
                <w:sz w:val="18"/>
                <w:szCs w:val="18"/>
                <w:lang w:val="es-ES" w:eastAsia="es-ES"/>
              </w:rPr>
              <w:t xml:space="preserve"> i </w:t>
            </w:r>
            <w:proofErr w:type="spellStart"/>
            <w:r w:rsidRPr="000C2084">
              <w:rPr>
                <w:rFonts w:asciiTheme="minorHAnsi" w:hAnsiTheme="minorHAnsi" w:cstheme="minorHAnsi"/>
                <w:sz w:val="18"/>
                <w:szCs w:val="18"/>
                <w:lang w:val="es-ES" w:eastAsia="es-ES"/>
              </w:rPr>
              <w:t>odvodnja</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d.o.o</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Šibenik</w:t>
            </w:r>
            <w:proofErr w:type="spellEnd"/>
          </w:p>
        </w:tc>
        <w:tc>
          <w:tcPr>
            <w:tcW w:w="0" w:type="auto"/>
            <w:vAlign w:val="center"/>
          </w:tcPr>
          <w:p w14:paraId="7FA07294" w14:textId="1785D419" w:rsidR="001C14DC" w:rsidRPr="000C2084" w:rsidRDefault="004A6CF6"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Suministro de agua y alcantarillado en la ciudad de </w:t>
            </w:r>
            <w:proofErr w:type="spellStart"/>
            <w:r w:rsidRPr="000C2084">
              <w:rPr>
                <w:rFonts w:asciiTheme="minorHAnsi" w:hAnsiTheme="minorHAnsi" w:cstheme="minorHAnsi"/>
                <w:sz w:val="18"/>
                <w:szCs w:val="18"/>
                <w:lang w:eastAsia="es-ES"/>
              </w:rPr>
              <w:t>Šibenik</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Zaton</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Lepenica</w:t>
            </w:r>
            <w:proofErr w:type="spellEnd"/>
            <w:r w:rsidRPr="000C2084">
              <w:rPr>
                <w:rFonts w:asciiTheme="minorHAnsi" w:hAnsiTheme="minorHAnsi" w:cstheme="minorHAnsi"/>
                <w:sz w:val="18"/>
                <w:szCs w:val="18"/>
                <w:lang w:eastAsia="es-ES"/>
              </w:rPr>
              <w:t xml:space="preserve">), en las islas </w:t>
            </w:r>
            <w:proofErr w:type="spellStart"/>
            <w:r w:rsidRPr="000C2084">
              <w:rPr>
                <w:rFonts w:asciiTheme="minorHAnsi" w:hAnsiTheme="minorHAnsi" w:cstheme="minorHAnsi"/>
                <w:sz w:val="18"/>
                <w:szCs w:val="18"/>
                <w:lang w:eastAsia="es-ES"/>
              </w:rPr>
              <w:t>Obonjan</w:t>
            </w:r>
            <w:proofErr w:type="spellEnd"/>
            <w:r w:rsidRPr="000C2084">
              <w:rPr>
                <w:rFonts w:asciiTheme="minorHAnsi" w:hAnsiTheme="minorHAnsi" w:cstheme="minorHAnsi"/>
                <w:sz w:val="18"/>
                <w:szCs w:val="18"/>
                <w:lang w:eastAsia="es-ES"/>
              </w:rPr>
              <w:t xml:space="preserve"> y </w:t>
            </w:r>
            <w:proofErr w:type="spellStart"/>
            <w:r w:rsidRPr="000C2084">
              <w:rPr>
                <w:rFonts w:asciiTheme="minorHAnsi" w:hAnsiTheme="minorHAnsi" w:cstheme="minorHAnsi"/>
                <w:sz w:val="18"/>
                <w:szCs w:val="18"/>
                <w:lang w:eastAsia="es-ES"/>
              </w:rPr>
              <w:t>Prvić</w:t>
            </w:r>
            <w:proofErr w:type="spellEnd"/>
            <w:r w:rsidRPr="000C2084">
              <w:rPr>
                <w:rFonts w:asciiTheme="minorHAnsi" w:hAnsiTheme="minorHAnsi" w:cstheme="minorHAnsi"/>
                <w:sz w:val="18"/>
                <w:szCs w:val="18"/>
                <w:lang w:eastAsia="es-ES"/>
              </w:rPr>
              <w:t xml:space="preserve">, y en los municipios de Marina, </w:t>
            </w:r>
            <w:proofErr w:type="spellStart"/>
            <w:r w:rsidRPr="000C2084">
              <w:rPr>
                <w:rFonts w:asciiTheme="minorHAnsi" w:hAnsiTheme="minorHAnsi" w:cstheme="minorHAnsi"/>
                <w:sz w:val="18"/>
                <w:szCs w:val="18"/>
                <w:lang w:eastAsia="es-ES"/>
              </w:rPr>
              <w:t>Mitlo</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Blizna</w:t>
            </w:r>
            <w:proofErr w:type="spellEnd"/>
            <w:r w:rsidRPr="000C2084">
              <w:rPr>
                <w:rFonts w:asciiTheme="minorHAnsi" w:hAnsiTheme="minorHAnsi" w:cstheme="minorHAnsi"/>
                <w:sz w:val="18"/>
                <w:szCs w:val="18"/>
                <w:lang w:eastAsia="es-ES"/>
              </w:rPr>
              <w:t xml:space="preserve"> </w:t>
            </w:r>
            <w:proofErr w:type="spellStart"/>
            <w:r w:rsidRPr="000C2084">
              <w:rPr>
                <w:rFonts w:asciiTheme="minorHAnsi" w:hAnsiTheme="minorHAnsi" w:cstheme="minorHAnsi"/>
                <w:sz w:val="18"/>
                <w:szCs w:val="18"/>
                <w:lang w:eastAsia="es-ES"/>
              </w:rPr>
              <w:t>Donja</w:t>
            </w:r>
            <w:proofErr w:type="spellEnd"/>
            <w:r w:rsidRPr="000C2084">
              <w:rPr>
                <w:rFonts w:asciiTheme="minorHAnsi" w:hAnsiTheme="minorHAnsi" w:cstheme="minorHAnsi"/>
                <w:sz w:val="18"/>
                <w:szCs w:val="18"/>
                <w:lang w:eastAsia="es-ES"/>
              </w:rPr>
              <w:t xml:space="preserve"> y </w:t>
            </w:r>
            <w:proofErr w:type="spellStart"/>
            <w:r w:rsidRPr="000C2084">
              <w:rPr>
                <w:rFonts w:asciiTheme="minorHAnsi" w:hAnsiTheme="minorHAnsi" w:cstheme="minorHAnsi"/>
                <w:sz w:val="18"/>
                <w:szCs w:val="18"/>
                <w:lang w:eastAsia="es-ES"/>
              </w:rPr>
              <w:t>Blizna</w:t>
            </w:r>
            <w:proofErr w:type="spellEnd"/>
            <w:r w:rsidRPr="000C2084">
              <w:rPr>
                <w:rFonts w:asciiTheme="minorHAnsi" w:hAnsiTheme="minorHAnsi" w:cstheme="minorHAnsi"/>
                <w:sz w:val="18"/>
                <w:szCs w:val="18"/>
                <w:lang w:eastAsia="es-ES"/>
              </w:rPr>
              <w:t xml:space="preserve"> Gornja.</w:t>
            </w:r>
          </w:p>
        </w:tc>
      </w:tr>
      <w:tr w:rsidR="001C14DC" w:rsidRPr="007E16A2" w14:paraId="2981A8E5"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8C15B5" w14:textId="05BB7F30" w:rsidR="001C14DC" w:rsidRPr="000C2084" w:rsidRDefault="001C14DC"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Vodovod</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Brač</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d.o.o</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Supetar</w:t>
            </w:r>
            <w:proofErr w:type="spellEnd"/>
          </w:p>
        </w:tc>
        <w:tc>
          <w:tcPr>
            <w:tcW w:w="0" w:type="auto"/>
            <w:vAlign w:val="center"/>
          </w:tcPr>
          <w:p w14:paraId="59298935" w14:textId="52895A2C" w:rsidR="001C14DC" w:rsidRPr="000C2084" w:rsidRDefault="004A6CF6"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Infraestructura municipal </w:t>
            </w:r>
            <w:proofErr w:type="spellStart"/>
            <w:r w:rsidRPr="000C2084">
              <w:rPr>
                <w:rFonts w:asciiTheme="minorHAnsi" w:hAnsiTheme="minorHAnsi" w:cstheme="minorHAnsi"/>
                <w:sz w:val="18"/>
                <w:szCs w:val="18"/>
                <w:lang w:eastAsia="es-ES"/>
              </w:rPr>
              <w:t>Brač</w:t>
            </w:r>
            <w:proofErr w:type="spellEnd"/>
            <w:r w:rsidRPr="000C2084">
              <w:rPr>
                <w:rFonts w:asciiTheme="minorHAnsi" w:hAnsiTheme="minorHAnsi" w:cstheme="minorHAnsi"/>
                <w:sz w:val="18"/>
                <w:szCs w:val="18"/>
                <w:lang w:eastAsia="es-ES"/>
              </w:rPr>
              <w:t xml:space="preserve"> II.</w:t>
            </w:r>
          </w:p>
        </w:tc>
      </w:tr>
      <w:tr w:rsidR="001C14DC" w:rsidRPr="007E16A2" w14:paraId="5A8FC299"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DA0DB8" w14:textId="0BDB1C2C" w:rsidR="001C14DC" w:rsidRPr="000C2084" w:rsidRDefault="001C14DC"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Sisački</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vodovod</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d.o.o</w:t>
            </w:r>
            <w:proofErr w:type="spellEnd"/>
            <w:r w:rsidRPr="000C2084">
              <w:rPr>
                <w:rFonts w:asciiTheme="minorHAnsi" w:hAnsiTheme="minorHAnsi" w:cstheme="minorHAnsi"/>
                <w:sz w:val="18"/>
                <w:szCs w:val="18"/>
                <w:lang w:val="es-ES" w:eastAsia="es-ES"/>
              </w:rPr>
              <w:t>.</w:t>
            </w:r>
          </w:p>
        </w:tc>
        <w:tc>
          <w:tcPr>
            <w:tcW w:w="0" w:type="auto"/>
            <w:vAlign w:val="center"/>
          </w:tcPr>
          <w:p w14:paraId="2E4CFCEC" w14:textId="41984964" w:rsidR="001C14DC" w:rsidRPr="000C2084" w:rsidRDefault="004A6CF6"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 xml:space="preserve">Mejora del suministro de agua en </w:t>
            </w:r>
            <w:proofErr w:type="spellStart"/>
            <w:r w:rsidRPr="000C2084">
              <w:rPr>
                <w:rFonts w:asciiTheme="minorHAnsi" w:hAnsiTheme="minorHAnsi" w:cstheme="minorHAnsi"/>
                <w:sz w:val="18"/>
                <w:szCs w:val="18"/>
                <w:lang w:eastAsia="es-ES"/>
              </w:rPr>
              <w:t>Sisak</w:t>
            </w:r>
            <w:proofErr w:type="spellEnd"/>
            <w:r w:rsidRPr="000C2084">
              <w:rPr>
                <w:rFonts w:asciiTheme="minorHAnsi" w:hAnsiTheme="minorHAnsi" w:cstheme="minorHAnsi"/>
                <w:sz w:val="18"/>
                <w:szCs w:val="18"/>
                <w:lang w:eastAsia="es-ES"/>
              </w:rPr>
              <w:t>.</w:t>
            </w:r>
          </w:p>
        </w:tc>
      </w:tr>
      <w:tr w:rsidR="001C14DC" w:rsidRPr="007E16A2" w14:paraId="3DDC2081"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15CF98" w14:textId="1C826F7A" w:rsidR="001C14DC" w:rsidRPr="000C2084" w:rsidRDefault="001C14DC"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Kaplja</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d.o.o</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Lovinac</w:t>
            </w:r>
            <w:proofErr w:type="spellEnd"/>
          </w:p>
        </w:tc>
        <w:tc>
          <w:tcPr>
            <w:tcW w:w="0" w:type="auto"/>
            <w:vAlign w:val="center"/>
          </w:tcPr>
          <w:p w14:paraId="29C9CD77" w14:textId="7782C6A0" w:rsidR="001C14DC" w:rsidRPr="000C2084" w:rsidRDefault="004A6CF6"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s-ES"/>
              </w:rPr>
            </w:pPr>
            <w:r w:rsidRPr="000C2084">
              <w:rPr>
                <w:rFonts w:asciiTheme="minorHAnsi" w:hAnsiTheme="minorHAnsi" w:cstheme="minorHAnsi"/>
                <w:sz w:val="18"/>
                <w:szCs w:val="18"/>
                <w:lang w:eastAsia="es-ES"/>
              </w:rPr>
              <w:t>Tubería de suministro de agua</w:t>
            </w:r>
            <w:r w:rsidR="00977410" w:rsidRPr="000C2084">
              <w:rPr>
                <w:rFonts w:asciiTheme="minorHAnsi" w:hAnsiTheme="minorHAnsi" w:cstheme="minorHAnsi"/>
                <w:sz w:val="18"/>
                <w:szCs w:val="18"/>
                <w:lang w:eastAsia="es-ES"/>
              </w:rPr>
              <w:t xml:space="preserve">, en </w:t>
            </w:r>
            <w:proofErr w:type="spellStart"/>
            <w:r w:rsidRPr="000C2084">
              <w:rPr>
                <w:rFonts w:asciiTheme="minorHAnsi" w:hAnsiTheme="minorHAnsi" w:cstheme="minorHAnsi"/>
                <w:sz w:val="18"/>
                <w:szCs w:val="18"/>
                <w:lang w:eastAsia="es-ES"/>
              </w:rPr>
              <w:t>Lovinac</w:t>
            </w:r>
            <w:proofErr w:type="spellEnd"/>
            <w:r w:rsidRPr="000C2084">
              <w:rPr>
                <w:rFonts w:asciiTheme="minorHAnsi" w:hAnsiTheme="minorHAnsi" w:cstheme="minorHAnsi"/>
                <w:sz w:val="18"/>
                <w:szCs w:val="18"/>
                <w:lang w:eastAsia="es-ES"/>
              </w:rPr>
              <w:t>.</w:t>
            </w:r>
          </w:p>
        </w:tc>
      </w:tr>
      <w:tr w:rsidR="001C14DC" w:rsidRPr="007E16A2" w14:paraId="16EA7E2B"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10BC268" w14:textId="69DE7EE8" w:rsidR="001C14DC" w:rsidRPr="000C2084" w:rsidRDefault="001C14DC" w:rsidP="005B1501">
            <w:pPr>
              <w:spacing w:after="0"/>
              <w:jc w:val="left"/>
              <w:rPr>
                <w:rFonts w:asciiTheme="minorHAnsi" w:hAnsiTheme="minorHAnsi" w:cstheme="minorHAnsi"/>
                <w:sz w:val="18"/>
                <w:szCs w:val="18"/>
                <w:lang w:val="en-US" w:eastAsia="es-ES"/>
              </w:rPr>
            </w:pPr>
            <w:proofErr w:type="spellStart"/>
            <w:r w:rsidRPr="000C2084">
              <w:rPr>
                <w:rFonts w:asciiTheme="minorHAnsi" w:hAnsiTheme="minorHAnsi" w:cstheme="minorHAnsi"/>
                <w:sz w:val="18"/>
                <w:szCs w:val="18"/>
                <w:lang w:val="en-US" w:eastAsia="es-ES"/>
              </w:rPr>
              <w:t>Vodovod</w:t>
            </w:r>
            <w:proofErr w:type="spellEnd"/>
            <w:r w:rsidRPr="000C2084">
              <w:rPr>
                <w:rFonts w:asciiTheme="minorHAnsi" w:hAnsiTheme="minorHAnsi" w:cstheme="minorHAnsi"/>
                <w:sz w:val="18"/>
                <w:szCs w:val="18"/>
                <w:lang w:val="en-US" w:eastAsia="es-ES"/>
              </w:rPr>
              <w:t xml:space="preserve"> </w:t>
            </w:r>
            <w:proofErr w:type="spellStart"/>
            <w:r w:rsidRPr="000C2084">
              <w:rPr>
                <w:rFonts w:asciiTheme="minorHAnsi" w:hAnsiTheme="minorHAnsi" w:cstheme="minorHAnsi"/>
                <w:sz w:val="18"/>
                <w:szCs w:val="18"/>
                <w:lang w:val="en-US" w:eastAsia="es-ES"/>
              </w:rPr>
              <w:t>i</w:t>
            </w:r>
            <w:proofErr w:type="spellEnd"/>
            <w:r w:rsidRPr="000C2084">
              <w:rPr>
                <w:rFonts w:asciiTheme="minorHAnsi" w:hAnsiTheme="minorHAnsi" w:cstheme="minorHAnsi"/>
                <w:sz w:val="18"/>
                <w:szCs w:val="18"/>
                <w:lang w:val="en-US" w:eastAsia="es-ES"/>
              </w:rPr>
              <w:t xml:space="preserve"> </w:t>
            </w:r>
            <w:proofErr w:type="spellStart"/>
            <w:r w:rsidRPr="000C2084">
              <w:rPr>
                <w:rFonts w:asciiTheme="minorHAnsi" w:hAnsiTheme="minorHAnsi" w:cstheme="minorHAnsi"/>
                <w:sz w:val="18"/>
                <w:szCs w:val="18"/>
                <w:lang w:val="en-US" w:eastAsia="es-ES"/>
              </w:rPr>
              <w:t>odvodnja</w:t>
            </w:r>
            <w:proofErr w:type="spellEnd"/>
            <w:r w:rsidRPr="000C2084">
              <w:rPr>
                <w:rFonts w:asciiTheme="minorHAnsi" w:hAnsiTheme="minorHAnsi" w:cstheme="minorHAnsi"/>
                <w:sz w:val="18"/>
                <w:szCs w:val="18"/>
                <w:lang w:val="en-US" w:eastAsia="es-ES"/>
              </w:rPr>
              <w:t xml:space="preserve"> d.o.o., </w:t>
            </w:r>
            <w:proofErr w:type="spellStart"/>
            <w:r w:rsidRPr="000C2084">
              <w:rPr>
                <w:rFonts w:asciiTheme="minorHAnsi" w:hAnsiTheme="minorHAnsi" w:cstheme="minorHAnsi"/>
                <w:sz w:val="18"/>
                <w:szCs w:val="18"/>
                <w:lang w:val="en-US" w:eastAsia="es-ES"/>
              </w:rPr>
              <w:t>Senj</w:t>
            </w:r>
            <w:proofErr w:type="spellEnd"/>
          </w:p>
        </w:tc>
        <w:tc>
          <w:tcPr>
            <w:tcW w:w="0" w:type="auto"/>
            <w:vAlign w:val="center"/>
          </w:tcPr>
          <w:p w14:paraId="2B2DCBA7" w14:textId="6F0AEE3E" w:rsidR="001C14DC" w:rsidRPr="000C2084" w:rsidRDefault="004A6CF6"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 xml:space="preserve">Sistema de suministro de agua para las localidades de </w:t>
            </w:r>
            <w:proofErr w:type="spellStart"/>
            <w:r w:rsidRPr="000C2084">
              <w:rPr>
                <w:rFonts w:asciiTheme="minorHAnsi" w:hAnsiTheme="minorHAnsi" w:cstheme="minorHAnsi"/>
                <w:sz w:val="18"/>
                <w:szCs w:val="18"/>
                <w:lang w:val="es-ES" w:eastAsia="es-ES"/>
              </w:rPr>
              <w:t>Boćak</w:t>
            </w:r>
            <w:proofErr w:type="spellEnd"/>
            <w:r w:rsidRPr="000C2084">
              <w:rPr>
                <w:rFonts w:asciiTheme="minorHAnsi" w:hAnsiTheme="minorHAnsi" w:cstheme="minorHAnsi"/>
                <w:sz w:val="18"/>
                <w:szCs w:val="18"/>
                <w:lang w:val="es-ES" w:eastAsia="es-ES"/>
              </w:rPr>
              <w:t xml:space="preserve"> y </w:t>
            </w:r>
            <w:proofErr w:type="spellStart"/>
            <w:r w:rsidRPr="000C2084">
              <w:rPr>
                <w:rFonts w:asciiTheme="minorHAnsi" w:hAnsiTheme="minorHAnsi" w:cstheme="minorHAnsi"/>
                <w:sz w:val="18"/>
                <w:szCs w:val="18"/>
                <w:lang w:val="es-ES" w:eastAsia="es-ES"/>
              </w:rPr>
              <w:t>Brina</w:t>
            </w:r>
            <w:proofErr w:type="spellEnd"/>
            <w:r w:rsidR="00977410" w:rsidRPr="000C2084">
              <w:rPr>
                <w:rFonts w:asciiTheme="minorHAnsi" w:hAnsiTheme="minorHAnsi" w:cstheme="minorHAnsi"/>
                <w:sz w:val="18"/>
                <w:szCs w:val="18"/>
                <w:lang w:val="es-ES" w:eastAsia="es-ES"/>
              </w:rPr>
              <w:t>,</w:t>
            </w:r>
            <w:r w:rsidRPr="000C2084">
              <w:rPr>
                <w:rFonts w:asciiTheme="minorHAnsi" w:hAnsiTheme="minorHAnsi" w:cstheme="minorHAnsi"/>
                <w:sz w:val="18"/>
                <w:szCs w:val="18"/>
                <w:lang w:val="es-ES" w:eastAsia="es-ES"/>
              </w:rPr>
              <w:t xml:space="preserve"> en </w:t>
            </w:r>
            <w:proofErr w:type="spellStart"/>
            <w:r w:rsidRPr="000C2084">
              <w:rPr>
                <w:rFonts w:asciiTheme="minorHAnsi" w:hAnsiTheme="minorHAnsi" w:cstheme="minorHAnsi"/>
                <w:sz w:val="18"/>
                <w:szCs w:val="18"/>
                <w:lang w:val="es-ES" w:eastAsia="es-ES"/>
              </w:rPr>
              <w:t>Prizna</w:t>
            </w:r>
            <w:proofErr w:type="spellEnd"/>
            <w:r w:rsidRPr="000C2084">
              <w:rPr>
                <w:rFonts w:asciiTheme="minorHAnsi" w:hAnsiTheme="minorHAnsi" w:cstheme="minorHAnsi"/>
                <w:sz w:val="18"/>
                <w:szCs w:val="18"/>
                <w:lang w:val="es-ES" w:eastAsia="es-ES"/>
              </w:rPr>
              <w:t>.</w:t>
            </w:r>
          </w:p>
        </w:tc>
      </w:tr>
      <w:tr w:rsidR="001C14DC" w:rsidRPr="007E16A2" w14:paraId="26E55126"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CE3736" w14:textId="5680CCF4" w:rsidR="001C14DC" w:rsidRPr="000C2084" w:rsidRDefault="001C14DC" w:rsidP="005B1501">
            <w:pPr>
              <w:spacing w:after="0"/>
              <w:jc w:val="left"/>
              <w:rPr>
                <w:rFonts w:asciiTheme="minorHAnsi" w:hAnsiTheme="minorHAnsi" w:cstheme="minorHAnsi"/>
                <w:sz w:val="18"/>
                <w:szCs w:val="18"/>
                <w:lang w:val="en-US" w:eastAsia="es-ES"/>
              </w:rPr>
            </w:pPr>
            <w:r w:rsidRPr="000C2084">
              <w:rPr>
                <w:rFonts w:asciiTheme="minorHAnsi" w:hAnsiTheme="minorHAnsi" w:cstheme="minorHAnsi"/>
                <w:sz w:val="18"/>
                <w:szCs w:val="18"/>
                <w:lang w:val="en-US" w:eastAsia="es-ES"/>
              </w:rPr>
              <w:t xml:space="preserve">Otok </w:t>
            </w:r>
            <w:proofErr w:type="spellStart"/>
            <w:r w:rsidRPr="000C2084">
              <w:rPr>
                <w:rFonts w:asciiTheme="minorHAnsi" w:hAnsiTheme="minorHAnsi" w:cstheme="minorHAnsi"/>
                <w:sz w:val="18"/>
                <w:szCs w:val="18"/>
                <w:lang w:val="en-US" w:eastAsia="es-ES"/>
              </w:rPr>
              <w:t>Ugljan</w:t>
            </w:r>
            <w:proofErr w:type="spellEnd"/>
            <w:r w:rsidRPr="000C2084">
              <w:rPr>
                <w:rFonts w:asciiTheme="minorHAnsi" w:hAnsiTheme="minorHAnsi" w:cstheme="minorHAnsi"/>
                <w:sz w:val="18"/>
                <w:szCs w:val="18"/>
                <w:lang w:val="en-US" w:eastAsia="es-ES"/>
              </w:rPr>
              <w:t xml:space="preserve"> </w:t>
            </w:r>
            <w:proofErr w:type="spellStart"/>
            <w:r w:rsidRPr="000C2084">
              <w:rPr>
                <w:rFonts w:asciiTheme="minorHAnsi" w:hAnsiTheme="minorHAnsi" w:cstheme="minorHAnsi"/>
                <w:sz w:val="18"/>
                <w:szCs w:val="18"/>
                <w:lang w:val="en-US" w:eastAsia="es-ES"/>
              </w:rPr>
              <w:t>d.o.o</w:t>
            </w:r>
            <w:proofErr w:type="spellEnd"/>
            <w:r w:rsidRPr="000C2084">
              <w:rPr>
                <w:rFonts w:asciiTheme="minorHAnsi" w:hAnsiTheme="minorHAnsi" w:cstheme="minorHAnsi"/>
                <w:sz w:val="18"/>
                <w:szCs w:val="18"/>
                <w:lang w:val="en-US" w:eastAsia="es-ES"/>
              </w:rPr>
              <w:t xml:space="preserve">, </w:t>
            </w:r>
            <w:proofErr w:type="spellStart"/>
            <w:r w:rsidRPr="000C2084">
              <w:rPr>
                <w:rFonts w:asciiTheme="minorHAnsi" w:hAnsiTheme="minorHAnsi" w:cstheme="minorHAnsi"/>
                <w:sz w:val="18"/>
                <w:szCs w:val="18"/>
                <w:lang w:val="en-US" w:eastAsia="es-ES"/>
              </w:rPr>
              <w:t>Preko</w:t>
            </w:r>
            <w:proofErr w:type="spellEnd"/>
          </w:p>
        </w:tc>
        <w:tc>
          <w:tcPr>
            <w:tcW w:w="0" w:type="auto"/>
            <w:vAlign w:val="center"/>
          </w:tcPr>
          <w:p w14:paraId="3B28CA4A" w14:textId="289E4C89" w:rsidR="001C14DC" w:rsidRPr="000C2084" w:rsidRDefault="004A6CF6"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 xml:space="preserve">Construcción de infraestructura de agua y saneamiento en </w:t>
            </w:r>
            <w:r w:rsidR="00977410" w:rsidRPr="000C2084">
              <w:rPr>
                <w:rFonts w:asciiTheme="minorHAnsi" w:hAnsiTheme="minorHAnsi" w:cstheme="minorHAnsi"/>
                <w:sz w:val="18"/>
                <w:szCs w:val="18"/>
                <w:lang w:val="es-ES" w:eastAsia="es-ES"/>
              </w:rPr>
              <w:t>el área de</w:t>
            </w:r>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Preko</w:t>
            </w:r>
            <w:proofErr w:type="spellEnd"/>
            <w:r w:rsidRPr="000C2084">
              <w:rPr>
                <w:rFonts w:asciiTheme="minorHAnsi" w:hAnsiTheme="minorHAnsi" w:cstheme="minorHAnsi"/>
                <w:sz w:val="18"/>
                <w:szCs w:val="18"/>
                <w:lang w:val="es-ES" w:eastAsia="es-ES"/>
              </w:rPr>
              <w:t xml:space="preserve"> – Kali.</w:t>
            </w:r>
          </w:p>
        </w:tc>
      </w:tr>
      <w:tr w:rsidR="001C14DC" w:rsidRPr="007E16A2" w14:paraId="1262E064"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1E12F6" w14:textId="7BA6ACF3" w:rsidR="001C14DC" w:rsidRPr="000C2084" w:rsidRDefault="001C14DC"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Vodovod</w:t>
            </w:r>
            <w:proofErr w:type="spellEnd"/>
            <w:r w:rsidRPr="000C2084">
              <w:rPr>
                <w:rFonts w:asciiTheme="minorHAnsi" w:hAnsiTheme="minorHAnsi" w:cstheme="minorHAnsi"/>
                <w:sz w:val="18"/>
                <w:szCs w:val="18"/>
                <w:lang w:val="es-ES" w:eastAsia="es-ES"/>
              </w:rPr>
              <w:t xml:space="preserve"> Pula </w:t>
            </w:r>
            <w:proofErr w:type="spellStart"/>
            <w:r w:rsidRPr="000C2084">
              <w:rPr>
                <w:rFonts w:asciiTheme="minorHAnsi" w:hAnsiTheme="minorHAnsi" w:cstheme="minorHAnsi"/>
                <w:sz w:val="18"/>
                <w:szCs w:val="18"/>
                <w:lang w:val="es-ES" w:eastAsia="es-ES"/>
              </w:rPr>
              <w:t>d.o.o</w:t>
            </w:r>
            <w:proofErr w:type="spellEnd"/>
            <w:r w:rsidRPr="000C2084">
              <w:rPr>
                <w:rFonts w:asciiTheme="minorHAnsi" w:hAnsiTheme="minorHAnsi" w:cstheme="minorHAnsi"/>
                <w:sz w:val="18"/>
                <w:szCs w:val="18"/>
                <w:lang w:val="es-ES" w:eastAsia="es-ES"/>
              </w:rPr>
              <w:t>.</w:t>
            </w:r>
          </w:p>
        </w:tc>
        <w:tc>
          <w:tcPr>
            <w:tcW w:w="0" w:type="auto"/>
            <w:vAlign w:val="center"/>
          </w:tcPr>
          <w:p w14:paraId="27CA2E67" w14:textId="4AB51B1F" w:rsidR="001C14DC" w:rsidRPr="000C2084" w:rsidRDefault="004A6CF6"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 xml:space="preserve">Construcción y reconstrucción de la red de suministro de agua en la calle </w:t>
            </w:r>
            <w:proofErr w:type="spellStart"/>
            <w:r w:rsidRPr="000C2084">
              <w:rPr>
                <w:rFonts w:asciiTheme="minorHAnsi" w:hAnsiTheme="minorHAnsi" w:cstheme="minorHAnsi"/>
                <w:sz w:val="18"/>
                <w:szCs w:val="18"/>
                <w:lang w:val="es-ES" w:eastAsia="es-ES"/>
              </w:rPr>
              <w:t>Tršćanska</w:t>
            </w:r>
            <w:proofErr w:type="spellEnd"/>
            <w:r w:rsidRPr="000C2084">
              <w:rPr>
                <w:rFonts w:asciiTheme="minorHAnsi" w:hAnsiTheme="minorHAnsi" w:cstheme="minorHAnsi"/>
                <w:sz w:val="18"/>
                <w:szCs w:val="18"/>
                <w:lang w:val="es-ES" w:eastAsia="es-ES"/>
              </w:rPr>
              <w:t xml:space="preserve"> y</w:t>
            </w:r>
            <w:r w:rsidR="00977410" w:rsidRPr="000C2084">
              <w:rPr>
                <w:rFonts w:asciiTheme="minorHAnsi" w:hAnsiTheme="minorHAnsi" w:cstheme="minorHAnsi"/>
                <w:sz w:val="18"/>
                <w:szCs w:val="18"/>
                <w:lang w:val="es-ES" w:eastAsia="es-ES"/>
              </w:rPr>
              <w:t xml:space="preserve"> en</w:t>
            </w:r>
            <w:r w:rsidRPr="000C2084">
              <w:rPr>
                <w:rFonts w:asciiTheme="minorHAnsi" w:hAnsiTheme="minorHAnsi" w:cstheme="minorHAnsi"/>
                <w:sz w:val="18"/>
                <w:szCs w:val="18"/>
                <w:lang w:val="es-ES" w:eastAsia="es-ES"/>
              </w:rPr>
              <w:t xml:space="preserve"> las </w:t>
            </w:r>
            <w:r w:rsidR="006E4FFB" w:rsidRPr="000C2084">
              <w:rPr>
                <w:rFonts w:asciiTheme="minorHAnsi" w:hAnsiTheme="minorHAnsi" w:cstheme="minorHAnsi"/>
                <w:sz w:val="18"/>
                <w:szCs w:val="18"/>
                <w:lang w:val="es-ES" w:eastAsia="es-ES"/>
              </w:rPr>
              <w:t>zonas</w:t>
            </w:r>
            <w:r w:rsidRPr="000C2084">
              <w:rPr>
                <w:rFonts w:asciiTheme="minorHAnsi" w:hAnsiTheme="minorHAnsi" w:cstheme="minorHAnsi"/>
                <w:sz w:val="18"/>
                <w:szCs w:val="18"/>
                <w:lang w:val="es-ES" w:eastAsia="es-ES"/>
              </w:rPr>
              <w:t xml:space="preserve"> de </w:t>
            </w:r>
            <w:proofErr w:type="spellStart"/>
            <w:r w:rsidRPr="000C2084">
              <w:rPr>
                <w:rFonts w:asciiTheme="minorHAnsi" w:hAnsiTheme="minorHAnsi" w:cstheme="minorHAnsi"/>
                <w:sz w:val="18"/>
                <w:szCs w:val="18"/>
                <w:lang w:val="es-ES" w:eastAsia="es-ES"/>
              </w:rPr>
              <w:t>Veli</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Vrh</w:t>
            </w:r>
            <w:proofErr w:type="spellEnd"/>
            <w:r w:rsidRPr="000C2084">
              <w:rPr>
                <w:rFonts w:asciiTheme="minorHAnsi" w:hAnsiTheme="minorHAnsi" w:cstheme="minorHAnsi"/>
                <w:sz w:val="18"/>
                <w:szCs w:val="18"/>
                <w:lang w:val="es-ES" w:eastAsia="es-ES"/>
              </w:rPr>
              <w:t xml:space="preserve"> y </w:t>
            </w:r>
            <w:proofErr w:type="spellStart"/>
            <w:r w:rsidRPr="000C2084">
              <w:rPr>
                <w:rFonts w:asciiTheme="minorHAnsi" w:hAnsiTheme="minorHAnsi" w:cstheme="minorHAnsi"/>
                <w:sz w:val="18"/>
                <w:szCs w:val="18"/>
                <w:lang w:val="es-ES" w:eastAsia="es-ES"/>
              </w:rPr>
              <w:t>Šijana</w:t>
            </w:r>
            <w:proofErr w:type="spellEnd"/>
            <w:r w:rsidR="00977410" w:rsidRPr="000C2084">
              <w:rPr>
                <w:rFonts w:asciiTheme="minorHAnsi" w:hAnsiTheme="minorHAnsi" w:cstheme="minorHAnsi"/>
                <w:sz w:val="18"/>
                <w:szCs w:val="18"/>
                <w:lang w:val="es-ES" w:eastAsia="es-ES"/>
              </w:rPr>
              <w:t>,</w:t>
            </w:r>
            <w:r w:rsidRPr="000C2084">
              <w:rPr>
                <w:rFonts w:asciiTheme="minorHAnsi" w:hAnsiTheme="minorHAnsi" w:cstheme="minorHAnsi"/>
                <w:sz w:val="18"/>
                <w:szCs w:val="18"/>
                <w:lang w:val="es-ES" w:eastAsia="es-ES"/>
              </w:rPr>
              <w:t xml:space="preserve"> en Pula.</w:t>
            </w:r>
          </w:p>
        </w:tc>
      </w:tr>
      <w:tr w:rsidR="001C14DC" w:rsidRPr="007E16A2" w14:paraId="54836B22"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14A643" w14:textId="6309E14B" w:rsidR="001C14DC" w:rsidRPr="000C2084" w:rsidRDefault="001C14DC"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Istarski</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vodovod</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d.o.o</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Buzet</w:t>
            </w:r>
            <w:proofErr w:type="spellEnd"/>
          </w:p>
        </w:tc>
        <w:tc>
          <w:tcPr>
            <w:tcW w:w="0" w:type="auto"/>
            <w:vAlign w:val="center"/>
          </w:tcPr>
          <w:p w14:paraId="553B06DF" w14:textId="3E95D272" w:rsidR="001C14DC" w:rsidRPr="000C2084" w:rsidRDefault="004A6CF6"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Expansión del sistema de suministro de agua</w:t>
            </w:r>
            <w:r w:rsidR="006E4FFB" w:rsidRPr="000C2084">
              <w:rPr>
                <w:rFonts w:asciiTheme="minorHAnsi" w:hAnsiTheme="minorHAnsi" w:cstheme="minorHAnsi"/>
                <w:sz w:val="18"/>
                <w:szCs w:val="18"/>
                <w:lang w:val="es-ES" w:eastAsia="es-ES"/>
              </w:rPr>
              <w:t>.</w:t>
            </w:r>
          </w:p>
        </w:tc>
      </w:tr>
      <w:tr w:rsidR="001C14DC" w:rsidRPr="007E16A2" w14:paraId="040D3A18"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E30FA1" w14:textId="051005B4" w:rsidR="001C14DC" w:rsidRPr="000C2084" w:rsidRDefault="001C14DC"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lastRenderedPageBreak/>
              <w:t>Komunalac</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d.o.o</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Županja</w:t>
            </w:r>
            <w:proofErr w:type="spellEnd"/>
          </w:p>
        </w:tc>
        <w:tc>
          <w:tcPr>
            <w:tcW w:w="0" w:type="auto"/>
            <w:vAlign w:val="center"/>
          </w:tcPr>
          <w:p w14:paraId="7CDB4C5B" w14:textId="0483B056" w:rsidR="001C14DC" w:rsidRPr="000C2084" w:rsidRDefault="004A6CF6"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 xml:space="preserve">Reconstrucción de la infraestructura de suministro de agua y alcantarillado público en </w:t>
            </w:r>
            <w:proofErr w:type="spellStart"/>
            <w:r w:rsidRPr="000C2084">
              <w:rPr>
                <w:rFonts w:asciiTheme="minorHAnsi" w:hAnsiTheme="minorHAnsi" w:cstheme="minorHAnsi"/>
                <w:sz w:val="18"/>
                <w:szCs w:val="18"/>
                <w:lang w:val="es-ES" w:eastAsia="es-ES"/>
              </w:rPr>
              <w:t>Županja</w:t>
            </w:r>
            <w:proofErr w:type="spellEnd"/>
            <w:r w:rsidRPr="000C2084">
              <w:rPr>
                <w:rFonts w:asciiTheme="minorHAnsi" w:hAnsiTheme="minorHAnsi" w:cstheme="minorHAnsi"/>
                <w:sz w:val="18"/>
                <w:szCs w:val="18"/>
                <w:lang w:val="es-ES" w:eastAsia="es-ES"/>
              </w:rPr>
              <w:t>.</w:t>
            </w:r>
          </w:p>
        </w:tc>
      </w:tr>
      <w:tr w:rsidR="001C14DC" w:rsidRPr="007E16A2" w14:paraId="4797FE15"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496234" w14:textId="3DE5DC42" w:rsidR="001C14DC" w:rsidRPr="000C2084" w:rsidRDefault="001C14DC"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Crno</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Vrilo</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d.o.o</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Karlobag</w:t>
            </w:r>
            <w:proofErr w:type="spellEnd"/>
          </w:p>
        </w:tc>
        <w:tc>
          <w:tcPr>
            <w:tcW w:w="0" w:type="auto"/>
            <w:vAlign w:val="center"/>
          </w:tcPr>
          <w:p w14:paraId="774906D5" w14:textId="169426A5" w:rsidR="001C14DC" w:rsidRPr="000C2084" w:rsidRDefault="004A6CF6"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Reservorio de agua</w:t>
            </w:r>
            <w:r w:rsidR="006E4FFB" w:rsidRPr="000C2084">
              <w:rPr>
                <w:rFonts w:asciiTheme="minorHAnsi" w:hAnsiTheme="minorHAnsi" w:cstheme="minorHAnsi"/>
                <w:sz w:val="18"/>
                <w:szCs w:val="18"/>
                <w:lang w:val="es-ES" w:eastAsia="es-ES"/>
              </w:rPr>
              <w:t xml:space="preserve"> en</w:t>
            </w:r>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Karlobag</w:t>
            </w:r>
            <w:proofErr w:type="spellEnd"/>
            <w:r w:rsidRPr="000C2084">
              <w:rPr>
                <w:rFonts w:asciiTheme="minorHAnsi" w:hAnsiTheme="minorHAnsi" w:cstheme="minorHAnsi"/>
                <w:sz w:val="18"/>
                <w:szCs w:val="18"/>
                <w:lang w:val="es-ES" w:eastAsia="es-ES"/>
              </w:rPr>
              <w:t>.</w:t>
            </w:r>
          </w:p>
        </w:tc>
      </w:tr>
      <w:tr w:rsidR="001C14DC" w:rsidRPr="007E16A2" w14:paraId="74D341F8"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19F762" w14:textId="5FA45EB3" w:rsidR="001C14DC" w:rsidRPr="000C2084" w:rsidRDefault="001C14DC"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Komunalno</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društvo</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Dugi</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otok</w:t>
            </w:r>
            <w:proofErr w:type="spellEnd"/>
            <w:r w:rsidRPr="000C2084">
              <w:rPr>
                <w:rFonts w:asciiTheme="minorHAnsi" w:hAnsiTheme="minorHAnsi" w:cstheme="minorHAnsi"/>
                <w:sz w:val="18"/>
                <w:szCs w:val="18"/>
                <w:lang w:val="es-ES" w:eastAsia="es-ES"/>
              </w:rPr>
              <w:t xml:space="preserve"> i </w:t>
            </w:r>
            <w:proofErr w:type="spellStart"/>
            <w:r w:rsidRPr="000C2084">
              <w:rPr>
                <w:rFonts w:asciiTheme="minorHAnsi" w:hAnsiTheme="minorHAnsi" w:cstheme="minorHAnsi"/>
                <w:sz w:val="18"/>
                <w:szCs w:val="18"/>
                <w:lang w:val="es-ES" w:eastAsia="es-ES"/>
              </w:rPr>
              <w:t>Zverinac</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d.o.o</w:t>
            </w:r>
            <w:proofErr w:type="spellEnd"/>
            <w:r w:rsidRPr="000C2084">
              <w:rPr>
                <w:rFonts w:asciiTheme="minorHAnsi" w:hAnsiTheme="minorHAnsi" w:cstheme="minorHAnsi"/>
                <w:sz w:val="18"/>
                <w:szCs w:val="18"/>
                <w:lang w:val="es-ES" w:eastAsia="es-ES"/>
              </w:rPr>
              <w:t>., Sali</w:t>
            </w:r>
          </w:p>
        </w:tc>
        <w:tc>
          <w:tcPr>
            <w:tcW w:w="0" w:type="auto"/>
            <w:vAlign w:val="center"/>
          </w:tcPr>
          <w:p w14:paraId="5F344F4E" w14:textId="76828B75" w:rsidR="001C14DC" w:rsidRPr="000C2084" w:rsidRDefault="004A6CF6"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 xml:space="preserve">Construcción del sistema de alcantarillado y dispositivos de tratamiento de aguas residuales en la localidad de </w:t>
            </w:r>
            <w:proofErr w:type="spellStart"/>
            <w:r w:rsidRPr="000C2084">
              <w:rPr>
                <w:rFonts w:asciiTheme="minorHAnsi" w:hAnsiTheme="minorHAnsi" w:cstheme="minorHAnsi"/>
                <w:sz w:val="18"/>
                <w:szCs w:val="18"/>
                <w:lang w:val="es-ES" w:eastAsia="es-ES"/>
              </w:rPr>
              <w:t>Božava</w:t>
            </w:r>
            <w:proofErr w:type="spellEnd"/>
            <w:r w:rsidR="007D0B2D" w:rsidRPr="000C2084">
              <w:rPr>
                <w:rFonts w:asciiTheme="minorHAnsi" w:hAnsiTheme="minorHAnsi" w:cstheme="minorHAnsi"/>
                <w:sz w:val="18"/>
                <w:szCs w:val="18"/>
                <w:lang w:val="es-ES" w:eastAsia="es-ES"/>
              </w:rPr>
              <w:t>,</w:t>
            </w:r>
            <w:r w:rsidRPr="000C2084">
              <w:rPr>
                <w:rFonts w:asciiTheme="minorHAnsi" w:hAnsiTheme="minorHAnsi" w:cstheme="minorHAnsi"/>
                <w:sz w:val="18"/>
                <w:szCs w:val="18"/>
                <w:lang w:val="es-ES" w:eastAsia="es-ES"/>
              </w:rPr>
              <w:t xml:space="preserve"> en la isla de </w:t>
            </w:r>
            <w:proofErr w:type="spellStart"/>
            <w:r w:rsidRPr="000C2084">
              <w:rPr>
                <w:rFonts w:asciiTheme="minorHAnsi" w:hAnsiTheme="minorHAnsi" w:cstheme="minorHAnsi"/>
                <w:sz w:val="18"/>
                <w:szCs w:val="18"/>
                <w:lang w:val="es-ES" w:eastAsia="es-ES"/>
              </w:rPr>
              <w:t>Dugi</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otok</w:t>
            </w:r>
            <w:proofErr w:type="spellEnd"/>
            <w:r w:rsidRPr="000C2084">
              <w:rPr>
                <w:rFonts w:asciiTheme="minorHAnsi" w:hAnsiTheme="minorHAnsi" w:cstheme="minorHAnsi"/>
                <w:sz w:val="18"/>
                <w:szCs w:val="18"/>
                <w:lang w:val="es-ES" w:eastAsia="es-ES"/>
              </w:rPr>
              <w:t>.</w:t>
            </w:r>
          </w:p>
        </w:tc>
      </w:tr>
      <w:tr w:rsidR="001C14DC" w:rsidRPr="007E16A2" w14:paraId="0EE045A8"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5B3985C" w14:textId="2D854142" w:rsidR="001C14DC" w:rsidRPr="000C2084" w:rsidRDefault="001C14DC"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Zemunik</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Odvodnja</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d.o.o</w:t>
            </w:r>
            <w:proofErr w:type="spellEnd"/>
            <w:r w:rsidRPr="000C2084">
              <w:rPr>
                <w:rFonts w:asciiTheme="minorHAnsi" w:hAnsiTheme="minorHAnsi" w:cstheme="minorHAnsi"/>
                <w:sz w:val="18"/>
                <w:szCs w:val="18"/>
                <w:lang w:val="es-ES" w:eastAsia="es-ES"/>
              </w:rPr>
              <w:t>.</w:t>
            </w:r>
          </w:p>
        </w:tc>
        <w:tc>
          <w:tcPr>
            <w:tcW w:w="0" w:type="auto"/>
            <w:vAlign w:val="center"/>
          </w:tcPr>
          <w:p w14:paraId="45E8CBD3" w14:textId="13D88500" w:rsidR="001C14DC" w:rsidRPr="000C2084" w:rsidRDefault="004A6CF6"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Construcción del sistema de alcantarillado sanitario en la zona residencial de Graba</w:t>
            </w:r>
            <w:r w:rsidR="007D0B2D" w:rsidRPr="000C2084">
              <w:rPr>
                <w:rFonts w:asciiTheme="minorHAnsi" w:hAnsiTheme="minorHAnsi" w:cstheme="minorHAnsi"/>
                <w:sz w:val="18"/>
                <w:szCs w:val="18"/>
                <w:lang w:val="es-ES" w:eastAsia="es-ES"/>
              </w:rPr>
              <w:t xml:space="preserve">, </w:t>
            </w:r>
            <w:r w:rsidRPr="000C2084">
              <w:rPr>
                <w:rFonts w:asciiTheme="minorHAnsi" w:hAnsiTheme="minorHAnsi" w:cstheme="minorHAnsi"/>
                <w:sz w:val="18"/>
                <w:szCs w:val="18"/>
                <w:lang w:val="es-ES" w:eastAsia="es-ES"/>
              </w:rPr>
              <w:t>municipio de</w:t>
            </w:r>
            <w:r w:rsidR="007D0B2D" w:rsidRPr="000C2084">
              <w:rPr>
                <w:rFonts w:asciiTheme="minorHAnsi" w:hAnsiTheme="minorHAnsi" w:cstheme="minorHAnsi"/>
                <w:sz w:val="18"/>
                <w:szCs w:val="18"/>
                <w:lang w:val="es-ES" w:eastAsia="es-ES"/>
              </w:rPr>
              <w:t xml:space="preserve"> </w:t>
            </w:r>
            <w:r w:rsidRPr="000C2084">
              <w:rPr>
                <w:rFonts w:asciiTheme="minorHAnsi" w:hAnsiTheme="minorHAnsi" w:cstheme="minorHAnsi"/>
                <w:sz w:val="18"/>
                <w:szCs w:val="18"/>
                <w:lang w:val="es-ES" w:eastAsia="es-ES"/>
              </w:rPr>
              <w:t>Poličnik</w:t>
            </w:r>
            <w:r w:rsidR="007D0B2D" w:rsidRPr="000C2084">
              <w:rPr>
                <w:rFonts w:asciiTheme="minorHAnsi" w:hAnsiTheme="minorHAnsi" w:cstheme="minorHAnsi"/>
                <w:sz w:val="18"/>
                <w:szCs w:val="18"/>
                <w:lang w:val="es-ES" w:eastAsia="es-ES"/>
              </w:rPr>
              <w:t>,</w:t>
            </w:r>
            <w:r w:rsidRPr="000C2084">
              <w:rPr>
                <w:rFonts w:asciiTheme="minorHAnsi" w:hAnsiTheme="minorHAnsi" w:cstheme="minorHAnsi"/>
                <w:sz w:val="18"/>
                <w:szCs w:val="18"/>
                <w:lang w:val="es-ES" w:eastAsia="es-ES"/>
              </w:rPr>
              <w:t xml:space="preserve"> y construcción del sistema de alcantarillado en Zemunik Donji </w:t>
            </w:r>
            <w:r w:rsidR="00F65EE6" w:rsidRPr="000C2084">
              <w:rPr>
                <w:rFonts w:asciiTheme="minorHAnsi" w:hAnsiTheme="minorHAnsi" w:cstheme="minorHAnsi"/>
                <w:sz w:val="18"/>
                <w:szCs w:val="18"/>
                <w:lang w:val="es-ES" w:eastAsia="es-ES"/>
              </w:rPr>
              <w:t>(</w:t>
            </w:r>
            <w:r w:rsidRPr="000C2084">
              <w:rPr>
                <w:rFonts w:asciiTheme="minorHAnsi" w:hAnsiTheme="minorHAnsi" w:cstheme="minorHAnsi"/>
                <w:sz w:val="18"/>
                <w:szCs w:val="18"/>
                <w:lang w:val="es-ES" w:eastAsia="es-ES"/>
              </w:rPr>
              <w:t>subsistema oeste 1</w:t>
            </w:r>
            <w:r w:rsidR="00F65EE6" w:rsidRPr="000C2084">
              <w:rPr>
                <w:rFonts w:asciiTheme="minorHAnsi" w:hAnsiTheme="minorHAnsi" w:cstheme="minorHAnsi"/>
                <w:sz w:val="18"/>
                <w:szCs w:val="18"/>
                <w:lang w:val="es-ES" w:eastAsia="es-ES"/>
              </w:rPr>
              <w:t>)</w:t>
            </w:r>
            <w:r w:rsidRPr="000C2084">
              <w:rPr>
                <w:rFonts w:asciiTheme="minorHAnsi" w:hAnsiTheme="minorHAnsi" w:cstheme="minorHAnsi"/>
                <w:sz w:val="18"/>
                <w:szCs w:val="18"/>
                <w:lang w:val="es-ES" w:eastAsia="es-ES"/>
              </w:rPr>
              <w:t>.</w:t>
            </w:r>
          </w:p>
        </w:tc>
      </w:tr>
      <w:tr w:rsidR="001C14DC" w:rsidRPr="007E16A2" w14:paraId="48207F6F"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8860F1" w14:textId="0D14EF83"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MAJ ODVODNJA d.o.o., Umag</w:t>
            </w:r>
          </w:p>
        </w:tc>
        <w:tc>
          <w:tcPr>
            <w:tcW w:w="0" w:type="auto"/>
            <w:vAlign w:val="center"/>
          </w:tcPr>
          <w:p w14:paraId="5CFBEF84" w14:textId="3C792318" w:rsidR="001C14DC" w:rsidRPr="000C2084" w:rsidRDefault="004A6CF6"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 xml:space="preserve">Construcción de la red secundaria del sistema de alcantarillado en la </w:t>
            </w:r>
            <w:r w:rsidR="007D0B2D" w:rsidRPr="000C2084">
              <w:rPr>
                <w:rFonts w:asciiTheme="minorHAnsi" w:hAnsiTheme="minorHAnsi" w:cstheme="minorHAnsi"/>
                <w:sz w:val="18"/>
                <w:szCs w:val="18"/>
                <w:lang w:val="es-ES" w:eastAsia="es-ES"/>
              </w:rPr>
              <w:t>ciudad de</w:t>
            </w:r>
            <w:r w:rsidRPr="000C2084">
              <w:rPr>
                <w:rFonts w:asciiTheme="minorHAnsi" w:hAnsiTheme="minorHAnsi" w:cstheme="minorHAnsi"/>
                <w:sz w:val="18"/>
                <w:szCs w:val="18"/>
                <w:lang w:val="es-ES" w:eastAsia="es-ES"/>
              </w:rPr>
              <w:t xml:space="preserve"> Umag.</w:t>
            </w:r>
          </w:p>
        </w:tc>
      </w:tr>
      <w:tr w:rsidR="001C14DC" w:rsidRPr="007E16A2" w14:paraId="4C424FC9"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F2783F" w14:textId="72D28704"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Komunalno društvo Pag d.o.o.</w:t>
            </w:r>
          </w:p>
        </w:tc>
        <w:tc>
          <w:tcPr>
            <w:tcW w:w="0" w:type="auto"/>
            <w:vAlign w:val="center"/>
          </w:tcPr>
          <w:p w14:paraId="58FBBB03" w14:textId="28790E9B" w:rsidR="001C14DC" w:rsidRPr="000C2084" w:rsidRDefault="004A6CF6"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Desarrollo del suministro de agua en el área de Komunalno društvo Pag d.o.o.</w:t>
            </w:r>
          </w:p>
        </w:tc>
      </w:tr>
      <w:tr w:rsidR="001C14DC" w:rsidRPr="007E16A2" w14:paraId="2024F5AC"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47DC6F" w14:textId="221D2B6C"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Vodovod i odvodnja d.o.o., Orebić</w:t>
            </w:r>
          </w:p>
        </w:tc>
        <w:tc>
          <w:tcPr>
            <w:tcW w:w="0" w:type="auto"/>
            <w:vAlign w:val="center"/>
          </w:tcPr>
          <w:p w14:paraId="60E08396" w14:textId="6720AE73" w:rsidR="001C14DC" w:rsidRPr="000C2084" w:rsidRDefault="004A6CF6"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Construcción de la tubería de suministro de agua en Vignj</w:t>
            </w:r>
            <w:r w:rsidR="007D0B2D" w:rsidRPr="000C2084">
              <w:rPr>
                <w:rFonts w:asciiTheme="minorHAnsi" w:hAnsiTheme="minorHAnsi" w:cstheme="minorHAnsi"/>
                <w:sz w:val="18"/>
                <w:szCs w:val="18"/>
                <w:lang w:val="es-ES" w:eastAsia="es-ES"/>
              </w:rPr>
              <w:t>,</w:t>
            </w:r>
            <w:r w:rsidRPr="000C2084">
              <w:rPr>
                <w:rFonts w:asciiTheme="minorHAnsi" w:hAnsiTheme="minorHAnsi" w:cstheme="minorHAnsi"/>
                <w:sz w:val="18"/>
                <w:szCs w:val="18"/>
                <w:lang w:val="es-ES" w:eastAsia="es-ES"/>
              </w:rPr>
              <w:t xml:space="preserve"> en el municipio de Orebić.</w:t>
            </w:r>
          </w:p>
        </w:tc>
      </w:tr>
      <w:tr w:rsidR="001C14DC" w:rsidRPr="007E16A2" w14:paraId="6C8A26A4"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7CEC1A" w14:textId="613FC36D"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Đakovački vodovod d.o.o.</w:t>
            </w:r>
          </w:p>
        </w:tc>
        <w:tc>
          <w:tcPr>
            <w:tcW w:w="0" w:type="auto"/>
            <w:vAlign w:val="center"/>
          </w:tcPr>
          <w:p w14:paraId="0F7A93F0" w14:textId="7317B9EB" w:rsidR="001C14DC" w:rsidRPr="000C2084" w:rsidRDefault="005F147A"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Construcción y mejora del sistema de suministro de agua en el área de servicio de Đakovački vodovod.</w:t>
            </w:r>
          </w:p>
        </w:tc>
      </w:tr>
      <w:tr w:rsidR="001C14DC" w:rsidRPr="007E16A2" w14:paraId="035ABFBA"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E9F0D47" w14:textId="39378975"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Konavosko komunalno društvo d.o.o., Konavle</w:t>
            </w:r>
          </w:p>
        </w:tc>
        <w:tc>
          <w:tcPr>
            <w:tcW w:w="0" w:type="auto"/>
            <w:vAlign w:val="center"/>
          </w:tcPr>
          <w:p w14:paraId="06CD0C3A" w14:textId="7B688105" w:rsidR="001C14DC" w:rsidRPr="000C2084" w:rsidRDefault="005F147A"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Expansión de la red de alcantarillado en las calles Frana Laureana</w:t>
            </w:r>
            <w:r w:rsidR="007D0B2D" w:rsidRPr="000C2084">
              <w:rPr>
                <w:rFonts w:asciiTheme="minorHAnsi" w:hAnsiTheme="minorHAnsi" w:cstheme="minorHAnsi"/>
                <w:sz w:val="18"/>
                <w:szCs w:val="18"/>
                <w:lang w:val="es-ES" w:eastAsia="es-ES"/>
              </w:rPr>
              <w:t>,</w:t>
            </w:r>
            <w:r w:rsidRPr="000C2084">
              <w:rPr>
                <w:rFonts w:asciiTheme="minorHAnsi" w:hAnsiTheme="minorHAnsi" w:cstheme="minorHAnsi"/>
                <w:sz w:val="18"/>
                <w:szCs w:val="18"/>
                <w:lang w:val="es-ES" w:eastAsia="es-ES"/>
              </w:rPr>
              <w:t xml:space="preserve"> Jurja Dalmatinca y S.S.</w:t>
            </w:r>
            <w:r w:rsidR="007D0B2D" w:rsidRPr="000C2084">
              <w:rPr>
                <w:rFonts w:asciiTheme="minorHAnsi" w:hAnsiTheme="minorHAnsi" w:cstheme="minorHAnsi"/>
                <w:sz w:val="18"/>
                <w:szCs w:val="18"/>
                <w:lang w:val="es-ES" w:eastAsia="es-ES"/>
              </w:rPr>
              <w:t xml:space="preserve"> </w:t>
            </w:r>
            <w:r w:rsidRPr="000C2084">
              <w:rPr>
                <w:rFonts w:asciiTheme="minorHAnsi" w:hAnsiTheme="minorHAnsi" w:cstheme="minorHAnsi"/>
                <w:sz w:val="18"/>
                <w:szCs w:val="18"/>
                <w:lang w:val="es-ES" w:eastAsia="es-ES"/>
              </w:rPr>
              <w:t>Kranjčevića</w:t>
            </w:r>
            <w:r w:rsidR="007D0B2D" w:rsidRPr="000C2084">
              <w:rPr>
                <w:rFonts w:asciiTheme="minorHAnsi" w:hAnsiTheme="minorHAnsi" w:cstheme="minorHAnsi"/>
                <w:sz w:val="18"/>
                <w:szCs w:val="18"/>
                <w:lang w:val="es-ES" w:eastAsia="es-ES"/>
              </w:rPr>
              <w:t>,</w:t>
            </w:r>
            <w:r w:rsidRPr="000C2084">
              <w:rPr>
                <w:rFonts w:asciiTheme="minorHAnsi" w:hAnsiTheme="minorHAnsi" w:cstheme="minorHAnsi"/>
                <w:sz w:val="18"/>
                <w:szCs w:val="18"/>
                <w:lang w:val="es-ES" w:eastAsia="es-ES"/>
              </w:rPr>
              <w:t xml:space="preserve"> en Cavtat.</w:t>
            </w:r>
          </w:p>
        </w:tc>
      </w:tr>
      <w:tr w:rsidR="001C14DC" w:rsidRPr="007E16A2" w14:paraId="510FAC5B"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B82F8F6" w14:textId="035CD408"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Vodovod Hrvatsko Primorje – južni ogranak d.o.o., Senj</w:t>
            </w:r>
          </w:p>
        </w:tc>
        <w:tc>
          <w:tcPr>
            <w:tcW w:w="0" w:type="auto"/>
            <w:vAlign w:val="center"/>
          </w:tcPr>
          <w:p w14:paraId="2A95D4C1" w14:textId="54BF74BD" w:rsidR="001C14DC" w:rsidRPr="000C2084" w:rsidRDefault="005F147A"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Construcción de una tubería paralela en las secciones PK "Lokve" - PK "Stinica" y</w:t>
            </w:r>
            <w:r w:rsidR="007D0B2D" w:rsidRPr="000C2084">
              <w:rPr>
                <w:rFonts w:asciiTheme="minorHAnsi" w:hAnsiTheme="minorHAnsi" w:cstheme="minorHAnsi"/>
                <w:sz w:val="18"/>
                <w:szCs w:val="18"/>
                <w:lang w:val="es-ES" w:eastAsia="es-ES"/>
              </w:rPr>
              <w:t xml:space="preserve"> en</w:t>
            </w:r>
            <w:r w:rsidRPr="000C2084">
              <w:rPr>
                <w:rFonts w:asciiTheme="minorHAnsi" w:hAnsiTheme="minorHAnsi" w:cstheme="minorHAnsi"/>
                <w:sz w:val="18"/>
                <w:szCs w:val="18"/>
                <w:lang w:val="es-ES" w:eastAsia="es-ES"/>
              </w:rPr>
              <w:t xml:space="preserve"> la estación "Hrmotine" - PK "Lokve".</w:t>
            </w:r>
          </w:p>
        </w:tc>
      </w:tr>
      <w:tr w:rsidR="001C14DC" w:rsidRPr="007E16A2" w14:paraId="52C6997E"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5C8F3A" w14:textId="59FFB311"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Vodovod Glina d.o.o.</w:t>
            </w:r>
          </w:p>
        </w:tc>
        <w:tc>
          <w:tcPr>
            <w:tcW w:w="0" w:type="auto"/>
            <w:vAlign w:val="center"/>
          </w:tcPr>
          <w:p w14:paraId="6FEF84CD" w14:textId="480003B7" w:rsidR="001C14DC" w:rsidRPr="000C2084" w:rsidRDefault="005F147A"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Construcción de la red de distribución en las aldeas de Maja, Svračica, Joševica, Roviška, Ravno Rašće, Dolnjaki y Prijeka.</w:t>
            </w:r>
          </w:p>
        </w:tc>
      </w:tr>
      <w:tr w:rsidR="001C14DC" w:rsidRPr="007E16A2" w14:paraId="597F5136"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3469EF6" w14:textId="37676B7E"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NPKLM vodovod d.o.o., Korčula</w:t>
            </w:r>
          </w:p>
        </w:tc>
        <w:tc>
          <w:tcPr>
            <w:tcW w:w="0" w:type="auto"/>
            <w:vAlign w:val="center"/>
          </w:tcPr>
          <w:p w14:paraId="274D3F3A" w14:textId="4FEE6481" w:rsidR="001C14DC" w:rsidRPr="000C2084" w:rsidRDefault="005F147A"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Construcción del depósito de agua y tubería</w:t>
            </w:r>
            <w:r w:rsidR="007D0B2D" w:rsidRPr="000C2084">
              <w:rPr>
                <w:rFonts w:asciiTheme="minorHAnsi" w:hAnsiTheme="minorHAnsi" w:cstheme="minorHAnsi"/>
                <w:sz w:val="18"/>
                <w:szCs w:val="18"/>
                <w:lang w:val="es-ES" w:eastAsia="es-ES"/>
              </w:rPr>
              <w:t>s</w:t>
            </w:r>
            <w:r w:rsidRPr="000C2084">
              <w:rPr>
                <w:rFonts w:asciiTheme="minorHAnsi" w:hAnsiTheme="minorHAnsi" w:cstheme="minorHAnsi"/>
                <w:sz w:val="18"/>
                <w:szCs w:val="18"/>
                <w:lang w:val="es-ES" w:eastAsia="es-ES"/>
              </w:rPr>
              <w:t xml:space="preserve"> Žrnovska Banja.</w:t>
            </w:r>
          </w:p>
        </w:tc>
      </w:tr>
      <w:tr w:rsidR="001C14DC" w:rsidRPr="007E16A2" w14:paraId="0903578F"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A114D3" w14:textId="1211DCCB"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Našički vodovod d.o.o.</w:t>
            </w:r>
          </w:p>
        </w:tc>
        <w:tc>
          <w:tcPr>
            <w:tcW w:w="0" w:type="auto"/>
            <w:vAlign w:val="center"/>
          </w:tcPr>
          <w:p w14:paraId="74A8C10F" w14:textId="7F8F6C3C" w:rsidR="001C14DC" w:rsidRPr="000C2084" w:rsidRDefault="005F147A"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Construcción de partes del sistema de alcantarillado en los municipios de Podgorač y Feričanci.</w:t>
            </w:r>
          </w:p>
        </w:tc>
      </w:tr>
      <w:tr w:rsidR="001C14DC" w:rsidRPr="007E16A2" w14:paraId="272B92DB"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0F8E15E" w14:textId="6D856D5C" w:rsidR="001C14DC" w:rsidRPr="000C2084" w:rsidRDefault="001C14DC" w:rsidP="005B1501">
            <w:pPr>
              <w:spacing w:after="0"/>
              <w:jc w:val="left"/>
              <w:rPr>
                <w:rFonts w:asciiTheme="minorHAnsi" w:hAnsiTheme="minorHAnsi" w:cstheme="minorHAnsi"/>
                <w:sz w:val="18"/>
                <w:szCs w:val="18"/>
                <w:lang w:val="en-US" w:eastAsia="es-ES"/>
              </w:rPr>
            </w:pPr>
            <w:r w:rsidRPr="000C2084">
              <w:rPr>
                <w:rFonts w:asciiTheme="minorHAnsi" w:hAnsiTheme="minorHAnsi" w:cstheme="minorHAnsi"/>
                <w:sz w:val="18"/>
                <w:szCs w:val="18"/>
                <w:lang w:val="en-US" w:eastAsia="es-ES"/>
              </w:rPr>
              <w:t>Vode Lipik d.o.o., Pakrac</w:t>
            </w:r>
          </w:p>
        </w:tc>
        <w:tc>
          <w:tcPr>
            <w:tcW w:w="0" w:type="auto"/>
            <w:vAlign w:val="center"/>
          </w:tcPr>
          <w:p w14:paraId="76EAC244" w14:textId="7D538550" w:rsidR="001C14DC" w:rsidRPr="000C2084" w:rsidRDefault="005F147A"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Sistema de alcantarillado y tratamiento de aguas residuales en la localidad de Poljana</w:t>
            </w:r>
            <w:r w:rsidR="00134E77" w:rsidRPr="000C2084">
              <w:rPr>
                <w:rFonts w:asciiTheme="minorHAnsi" w:hAnsiTheme="minorHAnsi" w:cstheme="minorHAnsi"/>
                <w:sz w:val="18"/>
                <w:szCs w:val="18"/>
                <w:lang w:val="es-ES" w:eastAsia="es-ES"/>
              </w:rPr>
              <w:t>,</w:t>
            </w:r>
            <w:r w:rsidRPr="000C2084">
              <w:rPr>
                <w:rFonts w:asciiTheme="minorHAnsi" w:hAnsiTheme="minorHAnsi" w:cstheme="minorHAnsi"/>
                <w:sz w:val="18"/>
                <w:szCs w:val="18"/>
                <w:lang w:val="es-ES" w:eastAsia="es-ES"/>
              </w:rPr>
              <w:t xml:space="preserve"> y sistema de alcantarillado y tratamiento de aguas residuales en la localidad de Badljevina.</w:t>
            </w:r>
          </w:p>
        </w:tc>
      </w:tr>
      <w:tr w:rsidR="001C14DC" w:rsidRPr="007E16A2" w14:paraId="79F22D9B"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B7A585" w14:textId="1F1A2C8A" w:rsidR="001C14DC" w:rsidRPr="000C2084" w:rsidRDefault="001C14DC" w:rsidP="005B1501">
            <w:pPr>
              <w:spacing w:after="0"/>
              <w:jc w:val="left"/>
              <w:rPr>
                <w:rFonts w:asciiTheme="minorHAnsi" w:hAnsiTheme="minorHAnsi" w:cstheme="minorHAnsi"/>
                <w:sz w:val="18"/>
                <w:szCs w:val="18"/>
                <w:lang w:eastAsia="es-ES"/>
              </w:rPr>
            </w:pPr>
            <w:r w:rsidRPr="000C2084">
              <w:rPr>
                <w:rFonts w:asciiTheme="minorHAnsi" w:hAnsiTheme="minorHAnsi" w:cstheme="minorHAnsi"/>
                <w:sz w:val="18"/>
                <w:szCs w:val="18"/>
                <w:lang w:eastAsia="es-ES"/>
              </w:rPr>
              <w:t>Komunalac d.o.o., Slunj</w:t>
            </w:r>
          </w:p>
        </w:tc>
        <w:tc>
          <w:tcPr>
            <w:tcW w:w="0" w:type="auto"/>
            <w:vAlign w:val="center"/>
          </w:tcPr>
          <w:p w14:paraId="3355B449" w14:textId="219A7320" w:rsidR="001C14DC" w:rsidRPr="000C2084" w:rsidRDefault="005F147A"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Desarrollo del sistema de suministro de agua y alcantarillado en la ciudad de Slunj.</w:t>
            </w:r>
          </w:p>
        </w:tc>
      </w:tr>
      <w:tr w:rsidR="001C14DC" w:rsidRPr="007E16A2" w14:paraId="070389F7"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08804C" w14:textId="246FF4D6" w:rsidR="001C14DC" w:rsidRPr="000C2084" w:rsidRDefault="001C14DC" w:rsidP="005B1501">
            <w:pPr>
              <w:spacing w:after="0"/>
              <w:jc w:val="left"/>
              <w:rPr>
                <w:rFonts w:asciiTheme="minorHAnsi" w:hAnsiTheme="minorHAnsi" w:cstheme="minorHAnsi"/>
                <w:sz w:val="18"/>
                <w:szCs w:val="18"/>
                <w:lang w:eastAsia="es-ES"/>
              </w:rPr>
            </w:pPr>
            <w:r w:rsidRPr="000C2084">
              <w:rPr>
                <w:rFonts w:asciiTheme="minorHAnsi" w:hAnsiTheme="minorHAnsi" w:cstheme="minorHAnsi"/>
                <w:sz w:val="18"/>
                <w:szCs w:val="18"/>
                <w:lang w:eastAsia="es-ES"/>
              </w:rPr>
              <w:t>Varkom d.o.o., Varaždin</w:t>
            </w:r>
          </w:p>
        </w:tc>
        <w:tc>
          <w:tcPr>
            <w:tcW w:w="0" w:type="auto"/>
            <w:vAlign w:val="center"/>
          </w:tcPr>
          <w:p w14:paraId="132ED73A" w14:textId="4C22C15E" w:rsidR="001C14DC" w:rsidRPr="000C2084" w:rsidRDefault="005F147A"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 xml:space="preserve">Construcción del sistema de alcantarillado y tratamiento de aguas residuales </w:t>
            </w:r>
            <w:r w:rsidR="00240234" w:rsidRPr="000C2084">
              <w:rPr>
                <w:rFonts w:asciiTheme="minorHAnsi" w:hAnsiTheme="minorHAnsi" w:cstheme="minorHAnsi"/>
                <w:sz w:val="18"/>
                <w:szCs w:val="18"/>
                <w:lang w:val="es-ES" w:eastAsia="es-ES"/>
              </w:rPr>
              <w:t>las áreas</w:t>
            </w:r>
            <w:r w:rsidRPr="000C2084">
              <w:rPr>
                <w:rFonts w:asciiTheme="minorHAnsi" w:hAnsiTheme="minorHAnsi" w:cstheme="minorHAnsi"/>
                <w:sz w:val="18"/>
                <w:szCs w:val="18"/>
                <w:lang w:val="es-ES" w:eastAsia="es-ES"/>
              </w:rPr>
              <w:t xml:space="preserve"> de Ljubeščica, Sveti Ilija, Jakopovec</w:t>
            </w:r>
            <w:r w:rsidR="00240234" w:rsidRPr="000C2084">
              <w:rPr>
                <w:rFonts w:asciiTheme="minorHAnsi" w:hAnsiTheme="minorHAnsi" w:cstheme="minorHAnsi"/>
                <w:sz w:val="18"/>
                <w:szCs w:val="18"/>
                <w:lang w:val="es-ES" w:eastAsia="es-ES"/>
              </w:rPr>
              <w:t xml:space="preserve"> y</w:t>
            </w:r>
            <w:r w:rsidRPr="000C2084">
              <w:rPr>
                <w:rFonts w:asciiTheme="minorHAnsi" w:hAnsiTheme="minorHAnsi" w:cstheme="minorHAnsi"/>
                <w:sz w:val="18"/>
                <w:szCs w:val="18"/>
                <w:lang w:val="es-ES" w:eastAsia="es-ES"/>
              </w:rPr>
              <w:t xml:space="preserve"> Kaštelanec, y</w:t>
            </w:r>
            <w:r w:rsidR="00240234" w:rsidRPr="000C2084">
              <w:rPr>
                <w:rFonts w:asciiTheme="minorHAnsi" w:hAnsiTheme="minorHAnsi" w:cstheme="minorHAnsi"/>
                <w:sz w:val="18"/>
                <w:szCs w:val="18"/>
                <w:lang w:val="es-ES" w:eastAsia="es-ES"/>
              </w:rPr>
              <w:t xml:space="preserve"> construcción de</w:t>
            </w:r>
            <w:r w:rsidRPr="000C2084">
              <w:rPr>
                <w:rFonts w:asciiTheme="minorHAnsi" w:hAnsiTheme="minorHAnsi" w:cstheme="minorHAnsi"/>
                <w:sz w:val="18"/>
                <w:szCs w:val="18"/>
                <w:lang w:val="es-ES" w:eastAsia="es-ES"/>
              </w:rPr>
              <w:t xml:space="preserve"> la planta de tratamiento de aguas residuales "UPOV Ljubeščica".</w:t>
            </w:r>
          </w:p>
        </w:tc>
      </w:tr>
      <w:tr w:rsidR="001C14DC" w:rsidRPr="007E16A2" w14:paraId="2BC6C674"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6D2DE26" w14:textId="39139ED0"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VIO Žrnovnica Crikvenica Vinodol d.o.o.</w:t>
            </w:r>
          </w:p>
        </w:tc>
        <w:tc>
          <w:tcPr>
            <w:tcW w:w="0" w:type="auto"/>
            <w:vAlign w:val="center"/>
          </w:tcPr>
          <w:p w14:paraId="72A129A0" w14:textId="0925BC01" w:rsidR="001C14DC" w:rsidRPr="000C2084" w:rsidRDefault="005F147A"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Reemplazo de ramificaciones de la tubería de suministro de agua.</w:t>
            </w:r>
          </w:p>
        </w:tc>
      </w:tr>
      <w:tr w:rsidR="001C14DC" w:rsidRPr="007E16A2" w14:paraId="42FAC1BE"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02C2F3F" w14:textId="27D42714"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Odvodnja d.o.o., Zadar</w:t>
            </w:r>
          </w:p>
        </w:tc>
        <w:tc>
          <w:tcPr>
            <w:tcW w:w="0" w:type="auto"/>
            <w:vAlign w:val="center"/>
          </w:tcPr>
          <w:p w14:paraId="2A1D5962" w14:textId="08E71FAF" w:rsidR="001C14DC" w:rsidRPr="000C2084" w:rsidRDefault="005F147A"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 xml:space="preserve">Construcción del sistema de alcantarillado público de aguas residuales en Špada (fase </w:t>
            </w:r>
            <w:r w:rsidR="00240234" w:rsidRPr="000C2084">
              <w:rPr>
                <w:rFonts w:asciiTheme="minorHAnsi" w:hAnsiTheme="minorHAnsi" w:cstheme="minorHAnsi"/>
                <w:sz w:val="18"/>
                <w:szCs w:val="18"/>
                <w:lang w:val="es-ES" w:eastAsia="es-ES"/>
              </w:rPr>
              <w:t>I</w:t>
            </w:r>
            <w:r w:rsidRPr="000C2084">
              <w:rPr>
                <w:rFonts w:asciiTheme="minorHAnsi" w:hAnsiTheme="minorHAnsi" w:cstheme="minorHAnsi"/>
                <w:sz w:val="18"/>
                <w:szCs w:val="18"/>
                <w:lang w:val="es-ES" w:eastAsia="es-ES"/>
              </w:rPr>
              <w:t>)</w:t>
            </w:r>
            <w:r w:rsidR="00240234" w:rsidRPr="000C2084">
              <w:rPr>
                <w:rFonts w:asciiTheme="minorHAnsi" w:hAnsiTheme="minorHAnsi" w:cstheme="minorHAnsi"/>
                <w:sz w:val="18"/>
                <w:szCs w:val="18"/>
                <w:lang w:val="es-ES" w:eastAsia="es-ES"/>
              </w:rPr>
              <w:t>,</w:t>
            </w:r>
            <w:r w:rsidRPr="000C2084">
              <w:rPr>
                <w:rFonts w:asciiTheme="minorHAnsi" w:hAnsiTheme="minorHAnsi" w:cstheme="minorHAnsi"/>
                <w:sz w:val="18"/>
                <w:szCs w:val="18"/>
                <w:lang w:val="es-ES" w:eastAsia="es-ES"/>
              </w:rPr>
              <w:t xml:space="preserve"> Zadar.</w:t>
            </w:r>
          </w:p>
        </w:tc>
      </w:tr>
      <w:tr w:rsidR="001C14DC" w:rsidRPr="003666E1" w14:paraId="00DCBF43"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254186A" w14:textId="38C6EA33"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Vodovod Novska d.o.o.</w:t>
            </w:r>
          </w:p>
        </w:tc>
        <w:tc>
          <w:tcPr>
            <w:tcW w:w="0" w:type="auto"/>
            <w:vAlign w:val="center"/>
          </w:tcPr>
          <w:p w14:paraId="1F39A0DB" w14:textId="4554F6D2" w:rsidR="001C14DC" w:rsidRPr="000C2084" w:rsidRDefault="005F147A" w:rsidP="00F65EE6">
            <w:pPr>
              <w:spacing w:after="0"/>
              <w:ind w:right="-39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Sistema de recogida, alcantarillado y tratamiento de aguas residuales en Rajić (</w:t>
            </w:r>
            <w:r w:rsidR="00240234" w:rsidRPr="000C2084">
              <w:rPr>
                <w:rFonts w:asciiTheme="minorHAnsi" w:hAnsiTheme="minorHAnsi" w:cstheme="minorHAnsi"/>
                <w:sz w:val="18"/>
                <w:szCs w:val="18"/>
                <w:lang w:val="es-ES" w:eastAsia="es-ES"/>
              </w:rPr>
              <w:t>f</w:t>
            </w:r>
            <w:r w:rsidRPr="000C2084">
              <w:rPr>
                <w:rFonts w:asciiTheme="minorHAnsi" w:hAnsiTheme="minorHAnsi" w:cstheme="minorHAnsi"/>
                <w:sz w:val="18"/>
                <w:szCs w:val="18"/>
                <w:lang w:val="es-ES" w:eastAsia="es-ES"/>
              </w:rPr>
              <w:t>ase I).</w:t>
            </w:r>
          </w:p>
        </w:tc>
      </w:tr>
      <w:tr w:rsidR="001C14DC" w:rsidRPr="007E16A2" w14:paraId="47E6F5C2"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4A9C53" w14:textId="1F9EF9DF" w:rsidR="001C14DC" w:rsidRPr="000C2084" w:rsidRDefault="001C14DC" w:rsidP="005B1501">
            <w:pPr>
              <w:spacing w:after="0"/>
              <w:jc w:val="left"/>
              <w:rPr>
                <w:rFonts w:asciiTheme="minorHAnsi" w:hAnsiTheme="minorHAnsi" w:cstheme="minorHAnsi"/>
                <w:sz w:val="18"/>
                <w:szCs w:val="18"/>
                <w:lang w:val="es-ES" w:eastAsia="es-ES"/>
              </w:rPr>
            </w:pPr>
            <w:proofErr w:type="spellStart"/>
            <w:r w:rsidRPr="000C2084">
              <w:rPr>
                <w:rFonts w:asciiTheme="minorHAnsi" w:hAnsiTheme="minorHAnsi" w:cstheme="minorHAnsi"/>
                <w:sz w:val="18"/>
                <w:szCs w:val="18"/>
                <w:lang w:val="es-ES" w:eastAsia="es-ES"/>
              </w:rPr>
              <w:t>Virkom</w:t>
            </w:r>
            <w:proofErr w:type="spellEnd"/>
            <w:r w:rsidRPr="000C2084">
              <w:rPr>
                <w:rFonts w:asciiTheme="minorHAnsi" w:hAnsiTheme="minorHAnsi" w:cstheme="minorHAnsi"/>
                <w:sz w:val="18"/>
                <w:szCs w:val="18"/>
                <w:lang w:val="es-ES" w:eastAsia="es-ES"/>
              </w:rPr>
              <w:t xml:space="preserve"> </w:t>
            </w:r>
            <w:proofErr w:type="spellStart"/>
            <w:r w:rsidRPr="000C2084">
              <w:rPr>
                <w:rFonts w:asciiTheme="minorHAnsi" w:hAnsiTheme="minorHAnsi" w:cstheme="minorHAnsi"/>
                <w:sz w:val="18"/>
                <w:szCs w:val="18"/>
                <w:lang w:val="es-ES" w:eastAsia="es-ES"/>
              </w:rPr>
              <w:t>d.o.o</w:t>
            </w:r>
            <w:proofErr w:type="spellEnd"/>
            <w:r w:rsidRPr="000C2084">
              <w:rPr>
                <w:rFonts w:asciiTheme="minorHAnsi" w:hAnsiTheme="minorHAnsi" w:cstheme="minorHAnsi"/>
                <w:sz w:val="18"/>
                <w:szCs w:val="18"/>
                <w:lang w:val="es-ES" w:eastAsia="es-ES"/>
              </w:rPr>
              <w:t>., Virovitica</w:t>
            </w:r>
          </w:p>
        </w:tc>
        <w:tc>
          <w:tcPr>
            <w:tcW w:w="0" w:type="auto"/>
            <w:vAlign w:val="center"/>
          </w:tcPr>
          <w:p w14:paraId="555C1037" w14:textId="25460EA5" w:rsidR="001C14DC" w:rsidRPr="000C2084" w:rsidRDefault="005F147A"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Construcción de un nuevo sistema de suministro de agua y alcantarillado en el área de Virkom.</w:t>
            </w:r>
          </w:p>
        </w:tc>
      </w:tr>
      <w:tr w:rsidR="001C14DC" w:rsidRPr="007E16A2" w14:paraId="34FE33F0"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E02CCD" w14:textId="5EDA1B4C"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Vodovod grada Vukovara d.o.o.</w:t>
            </w:r>
          </w:p>
        </w:tc>
        <w:tc>
          <w:tcPr>
            <w:tcW w:w="0" w:type="auto"/>
            <w:vAlign w:val="center"/>
          </w:tcPr>
          <w:p w14:paraId="522372F6" w14:textId="064267B4" w:rsidR="001C14DC" w:rsidRPr="000C2084" w:rsidRDefault="005F147A"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Mejora del sistema de alcantarillado público en la ciudad de Vukovar.</w:t>
            </w:r>
          </w:p>
        </w:tc>
      </w:tr>
      <w:tr w:rsidR="001C14DC" w:rsidRPr="007E16A2" w14:paraId="2144754E"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47B52F" w14:textId="42551C4F"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Odvodnja Poreč d.o.o.</w:t>
            </w:r>
          </w:p>
        </w:tc>
        <w:tc>
          <w:tcPr>
            <w:tcW w:w="0" w:type="auto"/>
            <w:vAlign w:val="center"/>
          </w:tcPr>
          <w:p w14:paraId="60FE926E" w14:textId="0EF53E79" w:rsidR="001C14DC" w:rsidRPr="000C2084" w:rsidRDefault="005F147A"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Proyecto Poreč.</w:t>
            </w:r>
          </w:p>
        </w:tc>
      </w:tr>
      <w:tr w:rsidR="001C14DC" w:rsidRPr="007E16A2" w14:paraId="01670D48"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D9D6F0" w14:textId="5E355524"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Vodovod i kanalizacija, d.o.o., Split</w:t>
            </w:r>
          </w:p>
        </w:tc>
        <w:tc>
          <w:tcPr>
            <w:tcW w:w="0" w:type="auto"/>
            <w:vAlign w:val="center"/>
          </w:tcPr>
          <w:p w14:paraId="55177EC4" w14:textId="1AF9890F" w:rsidR="001C14DC" w:rsidRPr="000C2084" w:rsidRDefault="005F147A"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Construcción de partes menores del sistema de suministro de agua y alcantarillado público en</w:t>
            </w:r>
            <w:r w:rsidR="00F65EE6" w:rsidRPr="000C2084">
              <w:rPr>
                <w:rFonts w:asciiTheme="minorHAnsi" w:hAnsiTheme="minorHAnsi" w:cstheme="minorHAnsi"/>
                <w:sz w:val="18"/>
                <w:szCs w:val="18"/>
                <w:lang w:val="es-ES" w:eastAsia="es-ES"/>
              </w:rPr>
              <w:t xml:space="preserve"> </w:t>
            </w:r>
            <w:r w:rsidRPr="000C2084">
              <w:rPr>
                <w:rFonts w:asciiTheme="minorHAnsi" w:hAnsiTheme="minorHAnsi" w:cstheme="minorHAnsi"/>
                <w:sz w:val="18"/>
                <w:szCs w:val="18"/>
                <w:lang w:val="es-ES" w:eastAsia="es-ES"/>
              </w:rPr>
              <w:t>Split.</w:t>
            </w:r>
          </w:p>
        </w:tc>
      </w:tr>
      <w:tr w:rsidR="001C14DC" w:rsidRPr="007E16A2" w14:paraId="549EF4C2"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720627" w14:textId="3C37145B"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Albanež d.o.o., Pula</w:t>
            </w:r>
          </w:p>
        </w:tc>
        <w:tc>
          <w:tcPr>
            <w:tcW w:w="0" w:type="auto"/>
            <w:vAlign w:val="center"/>
          </w:tcPr>
          <w:p w14:paraId="4A630AB7" w14:textId="1CFF3DD9" w:rsidR="001C14DC" w:rsidRPr="000C2084" w:rsidRDefault="005F147A"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Ampliación y reconstrucción del sistema de alcantarillado público de aguas residuales en Medulin.</w:t>
            </w:r>
          </w:p>
        </w:tc>
      </w:tr>
      <w:tr w:rsidR="001C14DC" w:rsidRPr="007E16A2" w14:paraId="7FB8A365"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661C0E" w14:textId="075C83A9"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Usluga odvodnja Pazin</w:t>
            </w:r>
          </w:p>
        </w:tc>
        <w:tc>
          <w:tcPr>
            <w:tcW w:w="0" w:type="auto"/>
            <w:vAlign w:val="center"/>
          </w:tcPr>
          <w:p w14:paraId="124F1A82" w14:textId="6750A1FA" w:rsidR="001C14DC" w:rsidRPr="000C2084" w:rsidRDefault="005F147A"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Construcción y reconstrucción de la infraestructura de agua y saneamiento en el área de distribución de Vinkovački vodovod i kanalizacija d.o.o.</w:t>
            </w:r>
          </w:p>
        </w:tc>
      </w:tr>
      <w:tr w:rsidR="001C14DC" w:rsidRPr="007E16A2" w14:paraId="07D71EFA"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0B6CF0" w14:textId="6D80B8D9"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lastRenderedPageBreak/>
              <w:t>Vinkovački vodovod i kanalizacija d.o.o.</w:t>
            </w:r>
          </w:p>
        </w:tc>
        <w:tc>
          <w:tcPr>
            <w:tcW w:w="0" w:type="auto"/>
            <w:vAlign w:val="center"/>
          </w:tcPr>
          <w:p w14:paraId="7B5F0887" w14:textId="06F47D09" w:rsidR="001C14DC" w:rsidRPr="000C2084" w:rsidRDefault="005F147A"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Construcción y reconstrucción de la infraestructura de servicios públicos de agua en Vinkovci.</w:t>
            </w:r>
          </w:p>
        </w:tc>
      </w:tr>
      <w:tr w:rsidR="001C14DC" w:rsidRPr="007E16A2" w14:paraId="08A603B4"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CF1308" w14:textId="705626AC" w:rsidR="001C14DC" w:rsidRPr="000C2084" w:rsidRDefault="001C14DC" w:rsidP="005B1501">
            <w:pPr>
              <w:spacing w:after="0"/>
              <w:jc w:val="left"/>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Dvorac d.o.o., Valpovo</w:t>
            </w:r>
          </w:p>
        </w:tc>
        <w:tc>
          <w:tcPr>
            <w:tcW w:w="0" w:type="auto"/>
            <w:vAlign w:val="center"/>
          </w:tcPr>
          <w:p w14:paraId="0719ED01" w14:textId="04A36F1D" w:rsidR="001C14DC" w:rsidRPr="000C2084" w:rsidRDefault="005F147A"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Reconstrucción y expansión del sistema de alcantarillado en Valpovo.</w:t>
            </w:r>
          </w:p>
        </w:tc>
      </w:tr>
      <w:tr w:rsidR="001C14DC" w:rsidRPr="007E16A2" w14:paraId="7D7660D1"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ACA199" w14:textId="728CBBE2" w:rsidR="001C14DC" w:rsidRPr="000C2084" w:rsidRDefault="001C14DC" w:rsidP="005B1501">
            <w:pPr>
              <w:spacing w:after="0"/>
              <w:jc w:val="left"/>
              <w:rPr>
                <w:rFonts w:asciiTheme="minorHAnsi" w:hAnsiTheme="minorHAnsi" w:cstheme="minorHAnsi"/>
                <w:sz w:val="18"/>
                <w:szCs w:val="18"/>
                <w:lang w:val="en-US" w:eastAsia="es-ES"/>
              </w:rPr>
            </w:pPr>
            <w:r w:rsidRPr="000C2084">
              <w:rPr>
                <w:rFonts w:asciiTheme="minorHAnsi" w:hAnsiTheme="minorHAnsi" w:cstheme="minorHAnsi"/>
                <w:sz w:val="18"/>
                <w:szCs w:val="18"/>
                <w:lang w:val="en-US" w:eastAsia="es-ES"/>
              </w:rPr>
              <w:t>Vodne usluge d.o.o., Bjelovar</w:t>
            </w:r>
          </w:p>
        </w:tc>
        <w:tc>
          <w:tcPr>
            <w:tcW w:w="0" w:type="auto"/>
            <w:vAlign w:val="center"/>
          </w:tcPr>
          <w:p w14:paraId="6DC01870" w14:textId="0A7A8498" w:rsidR="001C14DC" w:rsidRPr="000C2084" w:rsidRDefault="005F147A"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Construcción y reconstrucción del sistema de suministro de agua y alcantarillado público en la ciudad de Bjelovar.</w:t>
            </w:r>
          </w:p>
        </w:tc>
      </w:tr>
      <w:tr w:rsidR="001C14DC" w:rsidRPr="007E16A2" w14:paraId="09B5A856"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175448" w14:textId="2B6D4946" w:rsidR="001C14DC" w:rsidRPr="000C2084" w:rsidRDefault="001C14DC" w:rsidP="005B1501">
            <w:pPr>
              <w:spacing w:after="0"/>
              <w:jc w:val="left"/>
              <w:rPr>
                <w:rFonts w:asciiTheme="minorHAnsi" w:hAnsiTheme="minorHAnsi" w:cstheme="minorHAnsi"/>
                <w:sz w:val="18"/>
                <w:szCs w:val="18"/>
                <w:lang w:val="en-US" w:eastAsia="es-ES"/>
              </w:rPr>
            </w:pPr>
            <w:r w:rsidRPr="000C2084">
              <w:rPr>
                <w:rFonts w:asciiTheme="minorHAnsi" w:hAnsiTheme="minorHAnsi" w:cstheme="minorHAnsi"/>
                <w:sz w:val="18"/>
                <w:szCs w:val="18"/>
                <w:lang w:val="en-US" w:eastAsia="es-ES"/>
              </w:rPr>
              <w:t>Vodoopskrba i odvodnja Topusko d.o.o.</w:t>
            </w:r>
          </w:p>
        </w:tc>
        <w:tc>
          <w:tcPr>
            <w:tcW w:w="0" w:type="auto"/>
            <w:vAlign w:val="center"/>
          </w:tcPr>
          <w:p w14:paraId="24090947" w14:textId="0CEA5307" w:rsidR="001C14DC" w:rsidRPr="000C2084" w:rsidRDefault="005F147A"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Construcción del sistema de alcantarillado de aguas residuales en Topusko.</w:t>
            </w:r>
          </w:p>
        </w:tc>
      </w:tr>
      <w:tr w:rsidR="001C14DC" w:rsidRPr="007E16A2" w14:paraId="4D087701"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2B8DA2" w14:textId="565215F0" w:rsidR="001C14DC" w:rsidRPr="000C2084" w:rsidRDefault="005B1501" w:rsidP="005B1501">
            <w:pPr>
              <w:spacing w:after="0"/>
              <w:jc w:val="left"/>
              <w:rPr>
                <w:rFonts w:asciiTheme="minorHAnsi" w:hAnsiTheme="minorHAnsi" w:cstheme="minorHAnsi"/>
                <w:sz w:val="18"/>
                <w:szCs w:val="18"/>
                <w:lang w:eastAsia="es-ES"/>
              </w:rPr>
            </w:pPr>
            <w:r w:rsidRPr="000C2084">
              <w:rPr>
                <w:rFonts w:asciiTheme="minorHAnsi" w:hAnsiTheme="minorHAnsi" w:cstheme="minorHAnsi"/>
                <w:sz w:val="18"/>
                <w:szCs w:val="18"/>
                <w:lang w:eastAsia="es-ES"/>
              </w:rPr>
              <w:t>Vode Vrbovsko d.o.o.</w:t>
            </w:r>
          </w:p>
        </w:tc>
        <w:tc>
          <w:tcPr>
            <w:tcW w:w="0" w:type="auto"/>
            <w:vAlign w:val="center"/>
          </w:tcPr>
          <w:p w14:paraId="43E54157" w14:textId="64DF4AD5" w:rsidR="001C14DC" w:rsidRPr="000C2084" w:rsidRDefault="005F147A"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 xml:space="preserve">Reconstrucción de la red de suministro de agua y construcción del sistema de alcantarillado de aguas residuales en </w:t>
            </w:r>
            <w:r w:rsidR="00503DC4" w:rsidRPr="000C2084">
              <w:rPr>
                <w:rFonts w:asciiTheme="minorHAnsi" w:hAnsiTheme="minorHAnsi" w:cstheme="minorHAnsi"/>
                <w:sz w:val="18"/>
                <w:szCs w:val="18"/>
                <w:lang w:val="es-ES" w:eastAsia="es-ES"/>
              </w:rPr>
              <w:t>el área de</w:t>
            </w:r>
            <w:r w:rsidRPr="000C2084">
              <w:rPr>
                <w:rFonts w:asciiTheme="minorHAnsi" w:hAnsiTheme="minorHAnsi" w:cstheme="minorHAnsi"/>
                <w:sz w:val="18"/>
                <w:szCs w:val="18"/>
                <w:lang w:val="es-ES" w:eastAsia="es-ES"/>
              </w:rPr>
              <w:t xml:space="preserve"> Vrbovsko.</w:t>
            </w:r>
          </w:p>
        </w:tc>
      </w:tr>
      <w:tr w:rsidR="001C14DC" w:rsidRPr="007E16A2" w14:paraId="2A5EB04E"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2BE6AE0" w14:textId="2809D3E0" w:rsidR="001C14DC" w:rsidRPr="000C2084" w:rsidRDefault="005B1501" w:rsidP="005B1501">
            <w:pPr>
              <w:spacing w:after="0"/>
              <w:jc w:val="left"/>
              <w:rPr>
                <w:rFonts w:asciiTheme="minorHAnsi" w:hAnsiTheme="minorHAnsi" w:cstheme="minorHAnsi"/>
                <w:sz w:val="18"/>
                <w:szCs w:val="18"/>
                <w:lang w:eastAsia="es-ES"/>
              </w:rPr>
            </w:pPr>
            <w:r w:rsidRPr="000C2084">
              <w:rPr>
                <w:rFonts w:asciiTheme="minorHAnsi" w:hAnsiTheme="minorHAnsi" w:cstheme="minorHAnsi"/>
                <w:sz w:val="18"/>
                <w:szCs w:val="18"/>
                <w:lang w:eastAsia="es-ES"/>
              </w:rPr>
              <w:t>Zagorski vodovod d.o.o., Zabok</w:t>
            </w:r>
          </w:p>
        </w:tc>
        <w:tc>
          <w:tcPr>
            <w:tcW w:w="0" w:type="auto"/>
            <w:vAlign w:val="center"/>
          </w:tcPr>
          <w:p w14:paraId="5E16C3B4" w14:textId="54EF4397" w:rsidR="001C14DC" w:rsidRPr="000C2084" w:rsidRDefault="00503DC4"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C</w:t>
            </w:r>
            <w:r w:rsidR="005F147A" w:rsidRPr="000C2084">
              <w:rPr>
                <w:rFonts w:asciiTheme="minorHAnsi" w:hAnsiTheme="minorHAnsi" w:cstheme="minorHAnsi"/>
                <w:sz w:val="18"/>
                <w:szCs w:val="18"/>
                <w:lang w:val="es-ES" w:eastAsia="es-ES"/>
              </w:rPr>
              <w:t>onstrucción de instalaciones del sistema de suministro de agua y alcantarillado</w:t>
            </w:r>
            <w:r w:rsidRPr="000C2084">
              <w:rPr>
                <w:rFonts w:asciiTheme="minorHAnsi" w:hAnsiTheme="minorHAnsi" w:cstheme="minorHAnsi"/>
                <w:sz w:val="18"/>
                <w:szCs w:val="18"/>
                <w:lang w:val="es-ES" w:eastAsia="es-ES"/>
              </w:rPr>
              <w:t>.</w:t>
            </w:r>
          </w:p>
        </w:tc>
      </w:tr>
      <w:tr w:rsidR="001C14DC" w:rsidRPr="007E16A2" w14:paraId="76C76F5E"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E51DC85" w14:textId="19108FE1" w:rsidR="001C14DC" w:rsidRPr="000C2084" w:rsidRDefault="005B1501" w:rsidP="005B1501">
            <w:pPr>
              <w:spacing w:after="0"/>
              <w:jc w:val="left"/>
              <w:rPr>
                <w:rFonts w:asciiTheme="minorHAnsi" w:hAnsiTheme="minorHAnsi" w:cstheme="minorHAnsi"/>
                <w:sz w:val="18"/>
                <w:szCs w:val="18"/>
                <w:lang w:eastAsia="es-ES"/>
              </w:rPr>
            </w:pPr>
            <w:r w:rsidRPr="000C2084">
              <w:rPr>
                <w:rFonts w:asciiTheme="minorHAnsi" w:hAnsiTheme="minorHAnsi" w:cstheme="minorHAnsi"/>
                <w:sz w:val="18"/>
                <w:szCs w:val="18"/>
                <w:lang w:eastAsia="es-ES"/>
              </w:rPr>
              <w:t>Vodovod zapadne Slavonije d.o.o., Nova Gradiška</w:t>
            </w:r>
          </w:p>
        </w:tc>
        <w:tc>
          <w:tcPr>
            <w:tcW w:w="0" w:type="auto"/>
            <w:vAlign w:val="center"/>
          </w:tcPr>
          <w:p w14:paraId="0585BD9A" w14:textId="20361D55" w:rsidR="001C14DC" w:rsidRPr="000C2084" w:rsidRDefault="005F147A"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Construcción del sistema de alcantarillado</w:t>
            </w:r>
            <w:r w:rsidR="00503DC4" w:rsidRPr="000C2084">
              <w:rPr>
                <w:rFonts w:asciiTheme="minorHAnsi" w:hAnsiTheme="minorHAnsi" w:cstheme="minorHAnsi"/>
                <w:sz w:val="18"/>
                <w:szCs w:val="18"/>
                <w:lang w:val="es-ES" w:eastAsia="es-ES"/>
              </w:rPr>
              <w:t>,</w:t>
            </w:r>
            <w:r w:rsidRPr="000C2084">
              <w:rPr>
                <w:rFonts w:asciiTheme="minorHAnsi" w:hAnsiTheme="minorHAnsi" w:cstheme="minorHAnsi"/>
                <w:sz w:val="18"/>
                <w:szCs w:val="18"/>
                <w:lang w:val="es-ES" w:eastAsia="es-ES"/>
              </w:rPr>
              <w:t xml:space="preserve"> tratamiento de aguas residuales y sistema de suministro de agua en el área de Vodovod zapadne Slavonije d.o.o.</w:t>
            </w:r>
          </w:p>
        </w:tc>
      </w:tr>
      <w:tr w:rsidR="001C14DC" w:rsidRPr="007E16A2" w14:paraId="56481DE0" w14:textId="77777777" w:rsidTr="00F65EE6">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C116923" w14:textId="44665BAE" w:rsidR="001C14DC" w:rsidRPr="000C2084" w:rsidRDefault="005B1501" w:rsidP="005B1501">
            <w:pPr>
              <w:spacing w:after="0"/>
              <w:jc w:val="left"/>
              <w:rPr>
                <w:rFonts w:asciiTheme="minorHAnsi" w:hAnsiTheme="minorHAnsi" w:cstheme="minorHAnsi"/>
                <w:sz w:val="18"/>
                <w:szCs w:val="18"/>
                <w:lang w:eastAsia="es-ES"/>
              </w:rPr>
            </w:pPr>
            <w:r w:rsidRPr="000C2084">
              <w:rPr>
                <w:rFonts w:asciiTheme="minorHAnsi" w:hAnsiTheme="minorHAnsi" w:cstheme="minorHAnsi"/>
                <w:sz w:val="18"/>
                <w:szCs w:val="18"/>
                <w:lang w:eastAsia="es-ES"/>
              </w:rPr>
              <w:t>Odvodnja Bibinje - Sukošan d.o.o.</w:t>
            </w:r>
          </w:p>
        </w:tc>
        <w:tc>
          <w:tcPr>
            <w:tcW w:w="0" w:type="auto"/>
            <w:vAlign w:val="center"/>
          </w:tcPr>
          <w:p w14:paraId="62FB1B03" w14:textId="5514AFEF" w:rsidR="001C14DC" w:rsidRPr="000C2084" w:rsidRDefault="00503DC4" w:rsidP="00F65EE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F</w:t>
            </w:r>
            <w:r w:rsidR="005F147A" w:rsidRPr="000C2084">
              <w:rPr>
                <w:rFonts w:asciiTheme="minorHAnsi" w:hAnsiTheme="minorHAnsi" w:cstheme="minorHAnsi"/>
                <w:sz w:val="18"/>
                <w:szCs w:val="18"/>
                <w:lang w:val="es-ES" w:eastAsia="es-ES"/>
              </w:rPr>
              <w:t xml:space="preserve">ase II de Bibinje y </w:t>
            </w:r>
            <w:r w:rsidRPr="000C2084">
              <w:rPr>
                <w:rFonts w:asciiTheme="minorHAnsi" w:hAnsiTheme="minorHAnsi" w:cstheme="minorHAnsi"/>
                <w:sz w:val="18"/>
                <w:szCs w:val="18"/>
                <w:lang w:val="es-ES" w:eastAsia="es-ES"/>
              </w:rPr>
              <w:t>f</w:t>
            </w:r>
            <w:r w:rsidR="005F147A" w:rsidRPr="000C2084">
              <w:rPr>
                <w:rFonts w:asciiTheme="minorHAnsi" w:hAnsiTheme="minorHAnsi" w:cstheme="minorHAnsi"/>
                <w:sz w:val="18"/>
                <w:szCs w:val="18"/>
                <w:lang w:val="es-ES" w:eastAsia="es-ES"/>
              </w:rPr>
              <w:t>ase III de Sukošan del sistema de alcantarillado público</w:t>
            </w:r>
            <w:r w:rsidR="00E334EC" w:rsidRPr="000C2084">
              <w:rPr>
                <w:rFonts w:asciiTheme="minorHAnsi" w:hAnsiTheme="minorHAnsi" w:cstheme="minorHAnsi"/>
                <w:sz w:val="18"/>
                <w:szCs w:val="18"/>
                <w:lang w:val="es-ES" w:eastAsia="es-ES"/>
              </w:rPr>
              <w:t xml:space="preserve"> (r</w:t>
            </w:r>
            <w:r w:rsidR="005F147A" w:rsidRPr="000C2084">
              <w:rPr>
                <w:rFonts w:asciiTheme="minorHAnsi" w:hAnsiTheme="minorHAnsi" w:cstheme="minorHAnsi"/>
                <w:sz w:val="18"/>
                <w:szCs w:val="18"/>
                <w:lang w:val="es-ES" w:eastAsia="es-ES"/>
              </w:rPr>
              <w:t>econstrucción de la red de suministro de agua</w:t>
            </w:r>
            <w:r w:rsidR="00E334EC" w:rsidRPr="000C2084">
              <w:rPr>
                <w:rFonts w:asciiTheme="minorHAnsi" w:hAnsiTheme="minorHAnsi" w:cstheme="minorHAnsi"/>
                <w:sz w:val="18"/>
                <w:szCs w:val="18"/>
                <w:lang w:val="es-ES" w:eastAsia="es-ES"/>
              </w:rPr>
              <w:t>).</w:t>
            </w:r>
          </w:p>
        </w:tc>
      </w:tr>
      <w:tr w:rsidR="005B1501" w:rsidRPr="005B1501" w14:paraId="03373D38" w14:textId="77777777" w:rsidTr="00F65E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98CC9D" w14:textId="7E408BCE" w:rsidR="005B1501" w:rsidRPr="000C2084" w:rsidRDefault="005B1501" w:rsidP="005B1501">
            <w:pPr>
              <w:spacing w:after="0"/>
              <w:jc w:val="left"/>
              <w:rPr>
                <w:rFonts w:asciiTheme="minorHAnsi" w:hAnsiTheme="minorHAnsi" w:cstheme="minorHAnsi"/>
                <w:sz w:val="18"/>
                <w:szCs w:val="18"/>
                <w:lang w:val="en-US" w:eastAsia="es-ES"/>
              </w:rPr>
            </w:pPr>
            <w:r w:rsidRPr="000C2084">
              <w:rPr>
                <w:rFonts w:asciiTheme="minorHAnsi" w:hAnsiTheme="minorHAnsi" w:cstheme="minorHAnsi"/>
                <w:sz w:val="18"/>
                <w:szCs w:val="18"/>
                <w:lang w:val="en-US" w:eastAsia="es-ES"/>
              </w:rPr>
              <w:t>Pragrande d.o.o.</w:t>
            </w:r>
          </w:p>
        </w:tc>
        <w:tc>
          <w:tcPr>
            <w:tcW w:w="0" w:type="auto"/>
            <w:vAlign w:val="center"/>
          </w:tcPr>
          <w:p w14:paraId="7BEE621F" w14:textId="76D40EA9" w:rsidR="005B1501" w:rsidRPr="000C2084" w:rsidRDefault="005B1501" w:rsidP="00F65EE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eastAsia="es-ES"/>
              </w:rPr>
            </w:pPr>
            <w:r w:rsidRPr="000C2084">
              <w:rPr>
                <w:rFonts w:asciiTheme="minorHAnsi" w:hAnsiTheme="minorHAnsi" w:cstheme="minorHAnsi"/>
                <w:sz w:val="18"/>
                <w:szCs w:val="18"/>
                <w:lang w:val="es-ES" w:eastAsia="es-ES"/>
              </w:rPr>
              <w:t xml:space="preserve">Mejora del sistema de suministro de agua, así como del sistema de drenaje y tratamiento de aguas residuales en Pula </w:t>
            </w:r>
            <w:r w:rsidR="001D30E0" w:rsidRPr="000C2084">
              <w:rPr>
                <w:rFonts w:asciiTheme="minorHAnsi" w:hAnsiTheme="minorHAnsi" w:cstheme="minorHAnsi"/>
                <w:sz w:val="18"/>
                <w:szCs w:val="18"/>
                <w:lang w:val="es-ES" w:eastAsia="es-ES"/>
              </w:rPr>
              <w:t>N</w:t>
            </w:r>
            <w:r w:rsidRPr="000C2084">
              <w:rPr>
                <w:rFonts w:asciiTheme="minorHAnsi" w:hAnsiTheme="minorHAnsi" w:cstheme="minorHAnsi"/>
                <w:sz w:val="18"/>
                <w:szCs w:val="18"/>
                <w:lang w:val="es-ES" w:eastAsia="es-ES"/>
              </w:rPr>
              <w:t>orte.</w:t>
            </w:r>
          </w:p>
        </w:tc>
      </w:tr>
    </w:tbl>
    <w:bookmarkEnd w:id="41"/>
    <w:p w14:paraId="52B0DDB9" w14:textId="233A73B1" w:rsidR="00111AA5" w:rsidRPr="004E3BCC" w:rsidRDefault="00380F8D" w:rsidP="001D30E0">
      <w:pPr>
        <w:tabs>
          <w:tab w:val="left" w:pos="5954"/>
          <w:tab w:val="left" w:pos="6096"/>
        </w:tabs>
        <w:spacing w:before="120"/>
        <w:rPr>
          <w:noProof/>
          <w:color w:val="9D9A9D" w:themeColor="accent5"/>
          <w:sz w:val="18"/>
        </w:rPr>
      </w:pPr>
      <w:r w:rsidRPr="00380F8D">
        <w:rPr>
          <w:noProof/>
          <w:color w:val="9D9A9D" w:themeColor="accent5"/>
          <w:sz w:val="18"/>
        </w:rPr>
        <w:t xml:space="preserve">Fuente: Elaboración </w:t>
      </w:r>
      <w:bookmarkStart w:id="42" w:name="_Hlk147152746"/>
      <w:r w:rsidRPr="00380F8D">
        <w:rPr>
          <w:noProof/>
          <w:color w:val="9D9A9D" w:themeColor="accent5"/>
          <w:sz w:val="18"/>
        </w:rPr>
        <w:t xml:space="preserve">propia en base a datos </w:t>
      </w:r>
      <w:r w:rsidR="004E3BCC">
        <w:rPr>
          <w:noProof/>
          <w:color w:val="9D9A9D" w:themeColor="accent5"/>
          <w:sz w:val="18"/>
        </w:rPr>
        <w:t xml:space="preserve">proporcionados por el </w:t>
      </w:r>
      <w:r w:rsidR="004E3BCC" w:rsidRPr="004E3BCC">
        <w:rPr>
          <w:noProof/>
          <w:color w:val="9D9A9D" w:themeColor="accent5"/>
          <w:sz w:val="18"/>
        </w:rPr>
        <w:t>Servicio de Política de Aguas y Cooperación Internacional</w:t>
      </w:r>
      <w:r w:rsidR="004E3BCC">
        <w:rPr>
          <w:noProof/>
          <w:color w:val="9D9A9D" w:themeColor="accent5"/>
          <w:sz w:val="18"/>
        </w:rPr>
        <w:t xml:space="preserve"> del </w:t>
      </w:r>
      <w:r w:rsidR="004E3BCC" w:rsidRPr="004E3BCC">
        <w:rPr>
          <w:noProof/>
          <w:color w:val="9D9A9D" w:themeColor="accent5"/>
          <w:sz w:val="18"/>
        </w:rPr>
        <w:t>Ministerio de Economía y Desarrollo Sostenible</w:t>
      </w:r>
      <w:r w:rsidR="004E3BCC">
        <w:rPr>
          <w:noProof/>
          <w:color w:val="9D9A9D" w:themeColor="accent5"/>
          <w:sz w:val="18"/>
        </w:rPr>
        <w:t>.</w:t>
      </w:r>
      <w:bookmarkEnd w:id="42"/>
    </w:p>
    <w:p w14:paraId="6BB84CC4" w14:textId="00C5F049" w:rsidR="00970F25" w:rsidRDefault="00970F25" w:rsidP="007A2D36">
      <w:pPr>
        <w:pStyle w:val="Ttulo1"/>
        <w:ind w:left="0"/>
        <w:rPr>
          <w:noProof/>
        </w:rPr>
      </w:pPr>
      <w:bookmarkStart w:id="43" w:name="_Toc148363707"/>
      <w:r>
        <w:rPr>
          <w:noProof/>
        </w:rPr>
        <w:lastRenderedPageBreak/>
        <w:t>Percepción del producto español</w:t>
      </w:r>
      <w:bookmarkEnd w:id="43"/>
    </w:p>
    <w:p w14:paraId="227B3638" w14:textId="50D2DB8D" w:rsidR="00FD7F42" w:rsidRDefault="00FD7F42" w:rsidP="00E87D0A">
      <w:pPr>
        <w:rPr>
          <w:color w:val="auto"/>
          <w:lang w:val="es-ES" w:eastAsia="es-ES"/>
        </w:rPr>
      </w:pPr>
      <w:r w:rsidRPr="00FD7F42">
        <w:rPr>
          <w:color w:val="auto"/>
          <w:lang w:val="es-ES" w:eastAsia="es-ES"/>
        </w:rPr>
        <w:t xml:space="preserve">Actualmente, en el sector del agua de Croacia, se encuentran </w:t>
      </w:r>
      <w:r w:rsidRPr="00FD7F42">
        <w:rPr>
          <w:b/>
          <w:bCs/>
          <w:color w:val="auto"/>
          <w:lang w:val="es-ES" w:eastAsia="es-ES"/>
        </w:rPr>
        <w:t>establecidas</w:t>
      </w:r>
      <w:r w:rsidRPr="00FD7F42">
        <w:rPr>
          <w:color w:val="auto"/>
          <w:lang w:val="es-ES" w:eastAsia="es-ES"/>
        </w:rPr>
        <w:t xml:space="preserve"> dos empresas españolas: </w:t>
      </w:r>
      <w:hyperlink r:id="rId27" w:history="1">
        <w:r w:rsidRPr="000C2084">
          <w:rPr>
            <w:rStyle w:val="Hipervnculo"/>
            <w:b/>
            <w:bCs/>
            <w:u w:val="none"/>
            <w:lang w:val="es-ES" w:eastAsia="es-ES"/>
          </w:rPr>
          <w:t>EPTISA</w:t>
        </w:r>
      </w:hyperlink>
      <w:r w:rsidRPr="00FD7F42">
        <w:rPr>
          <w:color w:val="auto"/>
          <w:lang w:val="es-ES" w:eastAsia="es-ES"/>
        </w:rPr>
        <w:t xml:space="preserve">, especializada en la supervisión de proyectos hidrológicos, y </w:t>
      </w:r>
      <w:hyperlink r:id="rId28" w:history="1">
        <w:r w:rsidRPr="000C2084">
          <w:rPr>
            <w:rStyle w:val="Hipervnculo"/>
            <w:b/>
            <w:bCs/>
            <w:u w:val="none"/>
            <w:lang w:val="es-ES" w:eastAsia="es-ES"/>
          </w:rPr>
          <w:t>COMSA</w:t>
        </w:r>
      </w:hyperlink>
      <w:r w:rsidRPr="00FD7F42">
        <w:rPr>
          <w:color w:val="auto"/>
          <w:lang w:val="es-ES" w:eastAsia="es-ES"/>
        </w:rPr>
        <w:t>, ambas con oficinas en Zagreb.</w:t>
      </w:r>
    </w:p>
    <w:p w14:paraId="4D133619" w14:textId="692621F0" w:rsidR="00C15CBC" w:rsidRDefault="00437CF2" w:rsidP="00E87D0A">
      <w:pPr>
        <w:rPr>
          <w:color w:val="auto"/>
          <w:lang w:val="es-ES" w:eastAsia="es-ES"/>
        </w:rPr>
      </w:pPr>
      <w:r w:rsidRPr="00437CF2">
        <w:rPr>
          <w:color w:val="auto"/>
          <w:lang w:val="es-ES" w:eastAsia="es-ES"/>
        </w:rPr>
        <w:t xml:space="preserve">El mercado croata tiene una percepción </w:t>
      </w:r>
      <w:r w:rsidR="00C15CBC">
        <w:rPr>
          <w:color w:val="auto"/>
          <w:lang w:val="es-ES" w:eastAsia="es-ES"/>
        </w:rPr>
        <w:t xml:space="preserve">general </w:t>
      </w:r>
      <w:r w:rsidRPr="00437CF2">
        <w:rPr>
          <w:color w:val="auto"/>
          <w:lang w:val="es-ES" w:eastAsia="es-ES"/>
        </w:rPr>
        <w:t xml:space="preserve">positiva de las empresas y productos españoles. No obstante, pese a la reputación global de España en el sector del agua, en Croacia existe aún un </w:t>
      </w:r>
      <w:r w:rsidRPr="00C15CBC">
        <w:rPr>
          <w:b/>
          <w:bCs/>
          <w:color w:val="auto"/>
          <w:lang w:val="es-ES" w:eastAsia="es-ES"/>
        </w:rPr>
        <w:t>bajo conocimiento</w:t>
      </w:r>
      <w:r w:rsidRPr="00437CF2">
        <w:rPr>
          <w:color w:val="auto"/>
          <w:lang w:val="es-ES" w:eastAsia="es-ES"/>
        </w:rPr>
        <w:t xml:space="preserve"> de estas empresas.</w:t>
      </w:r>
      <w:r w:rsidR="00C15CBC">
        <w:rPr>
          <w:color w:val="auto"/>
          <w:lang w:val="es-ES" w:eastAsia="es-ES"/>
        </w:rPr>
        <w:t xml:space="preserve"> Es</w:t>
      </w:r>
      <w:r w:rsidR="00C15CBC" w:rsidRPr="00C15CBC">
        <w:rPr>
          <w:color w:val="auto"/>
          <w:lang w:val="es-ES" w:eastAsia="es-ES"/>
        </w:rPr>
        <w:t xml:space="preserve"> vital considerar que Croacia tiene </w:t>
      </w:r>
      <w:r w:rsidR="00C15CBC" w:rsidRPr="00C15CBC">
        <w:rPr>
          <w:b/>
          <w:bCs/>
          <w:color w:val="auto"/>
          <w:lang w:val="es-ES" w:eastAsia="es-ES"/>
        </w:rPr>
        <w:t>lazos más estrechos</w:t>
      </w:r>
      <w:r w:rsidR="00C15CBC" w:rsidRPr="00C15CBC">
        <w:rPr>
          <w:color w:val="auto"/>
          <w:lang w:val="es-ES" w:eastAsia="es-ES"/>
        </w:rPr>
        <w:t xml:space="preserve"> con otros países, como </w:t>
      </w:r>
      <w:r w:rsidR="00C15CBC" w:rsidRPr="00C15CBC">
        <w:rPr>
          <w:b/>
          <w:bCs/>
          <w:color w:val="auto"/>
          <w:lang w:val="es-ES" w:eastAsia="es-ES"/>
        </w:rPr>
        <w:t>Italia</w:t>
      </w:r>
      <w:r w:rsidR="00C15CBC" w:rsidRPr="00C15CBC">
        <w:rPr>
          <w:color w:val="auto"/>
          <w:lang w:val="es-ES" w:eastAsia="es-ES"/>
        </w:rPr>
        <w:t xml:space="preserve">, </w:t>
      </w:r>
      <w:r w:rsidR="00C15CBC" w:rsidRPr="00C15CBC">
        <w:rPr>
          <w:b/>
          <w:bCs/>
          <w:color w:val="auto"/>
          <w:lang w:val="es-ES" w:eastAsia="es-ES"/>
        </w:rPr>
        <w:t>Austria</w:t>
      </w:r>
      <w:r w:rsidR="00C15CBC" w:rsidRPr="00C15CBC">
        <w:rPr>
          <w:color w:val="auto"/>
          <w:lang w:val="es-ES" w:eastAsia="es-ES"/>
        </w:rPr>
        <w:t xml:space="preserve"> o </w:t>
      </w:r>
      <w:r w:rsidR="00C15CBC" w:rsidRPr="00C15CBC">
        <w:rPr>
          <w:b/>
          <w:bCs/>
          <w:color w:val="auto"/>
          <w:lang w:val="es-ES" w:eastAsia="es-ES"/>
        </w:rPr>
        <w:t>Suiza</w:t>
      </w:r>
      <w:r w:rsidR="00C15CBC" w:rsidRPr="00C15CBC">
        <w:rPr>
          <w:color w:val="auto"/>
          <w:lang w:val="es-ES" w:eastAsia="es-ES"/>
        </w:rPr>
        <w:t xml:space="preserve">. Estos países, además de su </w:t>
      </w:r>
      <w:r w:rsidR="00C15CBC" w:rsidRPr="00C15CBC">
        <w:rPr>
          <w:color w:val="auto"/>
          <w:u w:val="single"/>
          <w:lang w:val="es-ES" w:eastAsia="es-ES"/>
        </w:rPr>
        <w:t>proximidad geográfica</w:t>
      </w:r>
      <w:r w:rsidR="00C15CBC" w:rsidRPr="00C15CBC">
        <w:rPr>
          <w:color w:val="auto"/>
          <w:lang w:val="es-ES" w:eastAsia="es-ES"/>
        </w:rPr>
        <w:t xml:space="preserve">, ofrecen </w:t>
      </w:r>
      <w:r w:rsidR="00C15CBC" w:rsidRPr="00C15CBC">
        <w:rPr>
          <w:color w:val="auto"/>
          <w:u w:val="single"/>
          <w:lang w:val="es-ES" w:eastAsia="es-ES"/>
        </w:rPr>
        <w:t>ventajas logísticas</w:t>
      </w:r>
      <w:r w:rsidR="00C15CBC" w:rsidRPr="00C15CBC">
        <w:rPr>
          <w:color w:val="auto"/>
          <w:lang w:val="es-ES" w:eastAsia="es-ES"/>
        </w:rPr>
        <w:t xml:space="preserve"> y </w:t>
      </w:r>
      <w:r w:rsidR="00C15CBC" w:rsidRPr="00C15CBC">
        <w:rPr>
          <w:color w:val="auto"/>
          <w:u w:val="single"/>
          <w:lang w:val="es-ES" w:eastAsia="es-ES"/>
        </w:rPr>
        <w:t>sinergias culturales</w:t>
      </w:r>
      <w:r w:rsidR="00C15CBC" w:rsidRPr="00C15CBC">
        <w:rPr>
          <w:color w:val="auto"/>
          <w:lang w:val="es-ES" w:eastAsia="es-ES"/>
        </w:rPr>
        <w:t>.</w:t>
      </w:r>
    </w:p>
    <w:p w14:paraId="61895B5D" w14:textId="48730041" w:rsidR="00C15CBC" w:rsidRDefault="00C15CBC" w:rsidP="00E87D0A">
      <w:pPr>
        <w:rPr>
          <w:color w:val="auto"/>
          <w:lang w:val="es-ES" w:eastAsia="es-ES"/>
        </w:rPr>
      </w:pPr>
      <w:r w:rsidRPr="00C15CBC">
        <w:rPr>
          <w:color w:val="auto"/>
          <w:lang w:val="es-ES" w:eastAsia="es-ES"/>
        </w:rPr>
        <w:t xml:space="preserve">A pesar de ello, en los últimos años, </w:t>
      </w:r>
      <w:r w:rsidRPr="005747FB">
        <w:rPr>
          <w:b/>
          <w:bCs/>
          <w:color w:val="auto"/>
          <w:lang w:val="es-ES" w:eastAsia="es-ES"/>
        </w:rPr>
        <w:t>varias empresas españolas han logrado obtener contratos</w:t>
      </w:r>
      <w:r w:rsidRPr="00C15CBC">
        <w:rPr>
          <w:color w:val="auto"/>
          <w:lang w:val="es-ES" w:eastAsia="es-ES"/>
        </w:rPr>
        <w:t xml:space="preserve"> para proyectos en Croacia, tanto individualmente como en consorcios, destacando obras </w:t>
      </w:r>
      <w:r w:rsidR="005747FB">
        <w:rPr>
          <w:color w:val="auto"/>
          <w:lang w:val="es-ES" w:eastAsia="es-ES"/>
        </w:rPr>
        <w:t xml:space="preserve">como el </w:t>
      </w:r>
      <w:r w:rsidR="005747FB" w:rsidRPr="00B46777">
        <w:rPr>
          <w:color w:val="auto"/>
          <w:lang w:val="es-ES" w:eastAsia="es-ES"/>
        </w:rPr>
        <w:t>proyecto de suministro de agua y alcantarillado de</w:t>
      </w:r>
      <w:r w:rsidRPr="00C15CBC">
        <w:rPr>
          <w:color w:val="auto"/>
          <w:lang w:val="es-ES" w:eastAsia="es-ES"/>
        </w:rPr>
        <w:t xml:space="preserve"> Slavonski Brod,</w:t>
      </w:r>
      <w:r w:rsidR="005747FB">
        <w:rPr>
          <w:color w:val="auto"/>
          <w:lang w:val="es-ES" w:eastAsia="es-ES"/>
        </w:rPr>
        <w:t xml:space="preserve"> </w:t>
      </w:r>
      <w:r w:rsidR="005747FB" w:rsidRPr="00B46777">
        <w:rPr>
          <w:color w:val="auto"/>
          <w:lang w:val="es-ES" w:eastAsia="es-ES"/>
        </w:rPr>
        <w:t>el tratamiento de aguas residuales de</w:t>
      </w:r>
      <w:r w:rsidR="005747FB" w:rsidRPr="00C15CBC">
        <w:rPr>
          <w:color w:val="auto"/>
          <w:lang w:val="es-ES" w:eastAsia="es-ES"/>
        </w:rPr>
        <w:t xml:space="preserve"> </w:t>
      </w:r>
      <w:r w:rsidRPr="00C15CBC">
        <w:rPr>
          <w:color w:val="auto"/>
          <w:lang w:val="es-ES" w:eastAsia="es-ES"/>
        </w:rPr>
        <w:t xml:space="preserve">Sisak </w:t>
      </w:r>
      <w:r w:rsidR="005747FB" w:rsidRPr="00B46777">
        <w:rPr>
          <w:color w:val="auto"/>
          <w:lang w:val="es-ES" w:eastAsia="es-ES"/>
        </w:rPr>
        <w:t>o el proyecto de concentración de aguas y canalizaciones en</w:t>
      </w:r>
      <w:r w:rsidRPr="00C15CBC">
        <w:rPr>
          <w:color w:val="auto"/>
          <w:lang w:val="es-ES" w:eastAsia="es-ES"/>
        </w:rPr>
        <w:t xml:space="preserve"> Metković.</w:t>
      </w:r>
    </w:p>
    <w:p w14:paraId="098D0189" w14:textId="15C6E4A9" w:rsidR="00E87D0A" w:rsidRPr="000C2084" w:rsidRDefault="00C15CBC" w:rsidP="00E87D0A">
      <w:pPr>
        <w:rPr>
          <w:color w:val="auto"/>
          <w:lang w:val="es-ES" w:eastAsia="es-ES"/>
        </w:rPr>
      </w:pPr>
      <w:r w:rsidRPr="00C15CBC">
        <w:rPr>
          <w:color w:val="auto"/>
          <w:lang w:val="es-ES" w:eastAsia="es-ES"/>
        </w:rPr>
        <w:t xml:space="preserve">Se sugiere que las empresas españolas interesadas en este mercado </w:t>
      </w:r>
      <w:r w:rsidRPr="00C15CBC">
        <w:rPr>
          <w:b/>
          <w:bCs/>
          <w:color w:val="auto"/>
          <w:lang w:val="es-ES" w:eastAsia="es-ES"/>
        </w:rPr>
        <w:t>establezcan alianzas con empresas locales</w:t>
      </w:r>
      <w:r w:rsidRPr="00C15CBC">
        <w:rPr>
          <w:color w:val="auto"/>
          <w:lang w:val="es-ES" w:eastAsia="es-ES"/>
        </w:rPr>
        <w:t xml:space="preserve"> para beneficiarse de su conocimiento del entorno croata. La </w:t>
      </w:r>
      <w:r w:rsidRPr="005747FB">
        <w:rPr>
          <w:b/>
          <w:bCs/>
          <w:color w:val="auto"/>
          <w:lang w:val="es-ES" w:eastAsia="es-ES"/>
        </w:rPr>
        <w:t>elección de empresas españolas</w:t>
      </w:r>
      <w:r w:rsidRPr="00C15CBC">
        <w:rPr>
          <w:color w:val="auto"/>
          <w:lang w:val="es-ES" w:eastAsia="es-ES"/>
        </w:rPr>
        <w:t xml:space="preserve"> se basa</w:t>
      </w:r>
      <w:r w:rsidR="00D452B3">
        <w:rPr>
          <w:color w:val="auto"/>
          <w:lang w:val="es-ES" w:eastAsia="es-ES"/>
        </w:rPr>
        <w:t xml:space="preserve"> principalmente</w:t>
      </w:r>
      <w:r w:rsidRPr="00C15CBC">
        <w:rPr>
          <w:color w:val="auto"/>
          <w:lang w:val="es-ES" w:eastAsia="es-ES"/>
        </w:rPr>
        <w:t xml:space="preserve"> en su </w:t>
      </w:r>
      <w:r w:rsidRPr="000C2084">
        <w:rPr>
          <w:color w:val="auto"/>
          <w:lang w:val="es-ES" w:eastAsia="es-ES"/>
        </w:rPr>
        <w:t xml:space="preserve">experiencia en el sector, </w:t>
      </w:r>
      <w:r w:rsidRPr="000C2084">
        <w:rPr>
          <w:i/>
          <w:iCs/>
          <w:color w:val="auto"/>
          <w:lang w:val="es-ES" w:eastAsia="es-ES"/>
        </w:rPr>
        <w:t>know-how</w:t>
      </w:r>
      <w:r w:rsidRPr="000C2084">
        <w:rPr>
          <w:color w:val="auto"/>
          <w:lang w:val="es-ES" w:eastAsia="es-ES"/>
        </w:rPr>
        <w:t xml:space="preserve"> y familiaridad con los fondos europeos</w:t>
      </w:r>
      <w:r w:rsidR="005747FB" w:rsidRPr="000C2084">
        <w:rPr>
          <w:color w:val="auto"/>
          <w:lang w:val="es-ES" w:eastAsia="es-ES"/>
        </w:rPr>
        <w:t>.</w:t>
      </w:r>
    </w:p>
    <w:p w14:paraId="06D070BF" w14:textId="1BAAE0BD" w:rsidR="002D4993" w:rsidRPr="0045184C" w:rsidRDefault="00D452B3" w:rsidP="0045184C">
      <w:pPr>
        <w:rPr>
          <w:color w:val="auto"/>
        </w:rPr>
      </w:pPr>
      <w:r>
        <w:rPr>
          <w:color w:val="auto"/>
        </w:rPr>
        <w:t>Por otro lado, a</w:t>
      </w:r>
      <w:r w:rsidR="00E87D0A" w:rsidRPr="00B46777">
        <w:rPr>
          <w:color w:val="auto"/>
        </w:rPr>
        <w:t xml:space="preserve"> lo largo de los últimos años</w:t>
      </w:r>
      <w:r>
        <w:rPr>
          <w:color w:val="auto"/>
        </w:rPr>
        <w:t>,</w:t>
      </w:r>
      <w:r w:rsidR="00E87D0A" w:rsidRPr="00B46777">
        <w:rPr>
          <w:color w:val="auto"/>
        </w:rPr>
        <w:t xml:space="preserve"> </w:t>
      </w:r>
      <w:r>
        <w:rPr>
          <w:color w:val="auto"/>
        </w:rPr>
        <w:t xml:space="preserve">se ha </w:t>
      </w:r>
      <w:r w:rsidRPr="00D452B3">
        <w:rPr>
          <w:b/>
          <w:bCs/>
          <w:color w:val="auto"/>
        </w:rPr>
        <w:t>impulsar la colaboración y el acercamiento</w:t>
      </w:r>
      <w:r w:rsidRPr="00D452B3">
        <w:rPr>
          <w:color w:val="auto"/>
        </w:rPr>
        <w:t xml:space="preserve"> de empresas españolas al sector del agua en el mercado croata</w:t>
      </w:r>
      <w:r>
        <w:rPr>
          <w:color w:val="auto"/>
        </w:rPr>
        <w:t xml:space="preserve">. </w:t>
      </w:r>
      <w:r w:rsidRPr="00D452B3">
        <w:rPr>
          <w:color w:val="auto"/>
        </w:rPr>
        <w:t xml:space="preserve">A continuación, se destacan los </w:t>
      </w:r>
      <w:r w:rsidRPr="000C2084">
        <w:rPr>
          <w:color w:val="auto"/>
        </w:rPr>
        <w:t>eventos más relevantes</w:t>
      </w:r>
      <w:r w:rsidRPr="00D452B3">
        <w:rPr>
          <w:color w:val="auto"/>
        </w:rPr>
        <w:t>:</w:t>
      </w:r>
    </w:p>
    <w:p w14:paraId="56267500" w14:textId="58FE759B" w:rsidR="002D4993" w:rsidRPr="002D4993" w:rsidRDefault="002D4993" w:rsidP="002D4993">
      <w:pPr>
        <w:pStyle w:val="Prrafodelista"/>
        <w:numPr>
          <w:ilvl w:val="0"/>
          <w:numId w:val="30"/>
        </w:numPr>
        <w:rPr>
          <w:color w:val="auto"/>
        </w:rPr>
      </w:pPr>
      <w:r w:rsidRPr="002D4993">
        <w:rPr>
          <w:b/>
          <w:bCs/>
          <w:color w:val="auto"/>
        </w:rPr>
        <w:t>Febrero 2017</w:t>
      </w:r>
      <w:r w:rsidRPr="002D4993">
        <w:rPr>
          <w:color w:val="auto"/>
        </w:rPr>
        <w:t xml:space="preserve">: Jornada sobre tratamiento de residuos y aguas, en contexto de proyectos europeos, organizada por la Oficina Económica y Comercial de España en </w:t>
      </w:r>
      <w:r>
        <w:rPr>
          <w:color w:val="auto"/>
        </w:rPr>
        <w:t>Zagreb</w:t>
      </w:r>
      <w:r w:rsidRPr="002D4993">
        <w:rPr>
          <w:color w:val="auto"/>
        </w:rPr>
        <w:t>.</w:t>
      </w:r>
    </w:p>
    <w:p w14:paraId="16625A14" w14:textId="77777777" w:rsidR="002D4993" w:rsidRPr="002D4993" w:rsidRDefault="002D4993" w:rsidP="002D4993">
      <w:pPr>
        <w:pStyle w:val="Prrafodelista"/>
        <w:numPr>
          <w:ilvl w:val="0"/>
          <w:numId w:val="0"/>
        </w:numPr>
        <w:ind w:left="720"/>
        <w:rPr>
          <w:color w:val="auto"/>
        </w:rPr>
      </w:pPr>
    </w:p>
    <w:p w14:paraId="30034F0E" w14:textId="1B5C2BCA" w:rsidR="002D4993" w:rsidRPr="002D4993" w:rsidRDefault="002D4993" w:rsidP="002D4993">
      <w:pPr>
        <w:pStyle w:val="Prrafodelista"/>
        <w:numPr>
          <w:ilvl w:val="0"/>
          <w:numId w:val="30"/>
        </w:numPr>
        <w:rPr>
          <w:color w:val="auto"/>
        </w:rPr>
      </w:pPr>
      <w:r w:rsidRPr="002D4993">
        <w:rPr>
          <w:b/>
          <w:bCs/>
          <w:color w:val="auto"/>
        </w:rPr>
        <w:t>Noviembre 2021</w:t>
      </w:r>
      <w:r w:rsidRPr="002D4993">
        <w:rPr>
          <w:color w:val="auto"/>
        </w:rPr>
        <w:t>: Seminario “Jornada Agua Croacia: Necesidades y oportunidades de negocio”, organizado en colaboración con ICEX, Hrvatske Vode y el Ministerio croata de Economía y Desarrollo Sostenible.</w:t>
      </w:r>
    </w:p>
    <w:p w14:paraId="2EA94D32" w14:textId="77777777" w:rsidR="002D4993" w:rsidRPr="002D4993" w:rsidRDefault="002D4993" w:rsidP="002D4993">
      <w:pPr>
        <w:pStyle w:val="Prrafodelista"/>
        <w:numPr>
          <w:ilvl w:val="0"/>
          <w:numId w:val="0"/>
        </w:numPr>
        <w:ind w:left="720"/>
        <w:rPr>
          <w:color w:val="auto"/>
        </w:rPr>
      </w:pPr>
    </w:p>
    <w:p w14:paraId="20A7AEE0" w14:textId="659FFB60" w:rsidR="0003558E" w:rsidRPr="002D4993" w:rsidRDefault="002D4993" w:rsidP="0003558E">
      <w:pPr>
        <w:pStyle w:val="Prrafodelista"/>
        <w:numPr>
          <w:ilvl w:val="0"/>
          <w:numId w:val="30"/>
        </w:numPr>
        <w:rPr>
          <w:color w:val="auto"/>
        </w:rPr>
      </w:pPr>
      <w:r w:rsidRPr="002D4993">
        <w:rPr>
          <w:b/>
          <w:bCs/>
          <w:color w:val="auto"/>
        </w:rPr>
        <w:t>Noviembre 2023 (previsto)</w:t>
      </w:r>
      <w:r w:rsidRPr="002D4993">
        <w:rPr>
          <w:color w:val="auto"/>
        </w:rPr>
        <w:t>: Encuentro empresarial en Zagreb organizado por ICEX y la Oficina Económica y Comercial de España</w:t>
      </w:r>
      <w:r>
        <w:rPr>
          <w:color w:val="auto"/>
        </w:rPr>
        <w:t xml:space="preserve"> en Zagreb</w:t>
      </w:r>
      <w:r w:rsidRPr="002D4993">
        <w:rPr>
          <w:color w:val="auto"/>
        </w:rPr>
        <w:t>, abarcando sectores como agua, energía, turismo</w:t>
      </w:r>
      <w:r>
        <w:rPr>
          <w:color w:val="auto"/>
        </w:rPr>
        <w:t>, ferrocarriles</w:t>
      </w:r>
      <w:r w:rsidRPr="002D4993">
        <w:rPr>
          <w:color w:val="auto"/>
        </w:rPr>
        <w:t xml:space="preserve"> y digitalización.</w:t>
      </w:r>
    </w:p>
    <w:p w14:paraId="1E94933C" w14:textId="2ABA7A27" w:rsidR="00503D96" w:rsidRDefault="00503D96" w:rsidP="007A2D36">
      <w:pPr>
        <w:pStyle w:val="Ttulo1"/>
        <w:ind w:left="0"/>
      </w:pPr>
      <w:bookmarkStart w:id="44" w:name="_Toc148363708"/>
      <w:r>
        <w:lastRenderedPageBreak/>
        <w:t>A</w:t>
      </w:r>
      <w:r w:rsidRPr="002F190D">
        <w:t>cces</w:t>
      </w:r>
      <w:r>
        <w:t>o al mercado – Barreras</w:t>
      </w:r>
      <w:bookmarkEnd w:id="44"/>
    </w:p>
    <w:p w14:paraId="12CC32F3" w14:textId="7CEBB37D" w:rsidR="004863E4" w:rsidRDefault="004863E4" w:rsidP="004863E4">
      <w:pPr>
        <w:rPr>
          <w:color w:val="auto"/>
          <w:lang w:val="es-ES" w:eastAsia="es-ES"/>
        </w:rPr>
      </w:pPr>
      <w:r w:rsidRPr="004863E4">
        <w:rPr>
          <w:color w:val="auto"/>
          <w:lang w:val="es-ES" w:eastAsia="es-ES"/>
        </w:rPr>
        <w:t xml:space="preserve">En este apartado, </w:t>
      </w:r>
      <w:r w:rsidR="00DC4D54" w:rsidRPr="00DC4D54">
        <w:rPr>
          <w:color w:val="auto"/>
          <w:lang w:val="es-ES" w:eastAsia="es-ES"/>
        </w:rPr>
        <w:t xml:space="preserve">se revisan los obstáculos </w:t>
      </w:r>
      <w:r w:rsidR="00DC4D54">
        <w:rPr>
          <w:color w:val="auto"/>
          <w:lang w:val="es-ES" w:eastAsia="es-ES"/>
        </w:rPr>
        <w:t xml:space="preserve">y aspectos </w:t>
      </w:r>
      <w:r w:rsidR="00DC4D54" w:rsidRPr="00DC4D54">
        <w:rPr>
          <w:color w:val="auto"/>
          <w:lang w:val="es-ES" w:eastAsia="es-ES"/>
        </w:rPr>
        <w:t xml:space="preserve">principales que deben tenerse en </w:t>
      </w:r>
      <w:r w:rsidR="000A6119">
        <w:rPr>
          <w:color w:val="auto"/>
          <w:lang w:val="es-ES" w:eastAsia="es-ES"/>
        </w:rPr>
        <w:t>consideración</w:t>
      </w:r>
      <w:r w:rsidR="00DC4D54" w:rsidRPr="00DC4D54">
        <w:rPr>
          <w:color w:val="auto"/>
          <w:lang w:val="es-ES" w:eastAsia="es-ES"/>
        </w:rPr>
        <w:t xml:space="preserve"> al entrar en el mercado croata</w:t>
      </w:r>
      <w:r w:rsidRPr="004863E4">
        <w:rPr>
          <w:color w:val="auto"/>
          <w:lang w:val="es-ES" w:eastAsia="es-ES"/>
        </w:rPr>
        <w:t>. Siendo parte de la Unión Europea</w:t>
      </w:r>
      <w:r w:rsidRPr="00E02FEB">
        <w:rPr>
          <w:color w:val="auto"/>
          <w:lang w:val="es-ES" w:eastAsia="es-ES"/>
        </w:rPr>
        <w:t>, existe la</w:t>
      </w:r>
      <w:r w:rsidRPr="004863E4">
        <w:rPr>
          <w:b/>
          <w:bCs/>
          <w:color w:val="auto"/>
          <w:lang w:val="es-ES" w:eastAsia="es-ES"/>
        </w:rPr>
        <w:t xml:space="preserve"> libre circulación con España</w:t>
      </w:r>
      <w:r w:rsidRPr="004863E4">
        <w:rPr>
          <w:color w:val="auto"/>
          <w:lang w:val="es-ES" w:eastAsia="es-ES"/>
        </w:rPr>
        <w:t xml:space="preserve">. </w:t>
      </w:r>
      <w:r w:rsidR="00EE2908" w:rsidRPr="00EE2908">
        <w:rPr>
          <w:color w:val="auto"/>
          <w:lang w:val="es-ES" w:eastAsia="es-ES"/>
        </w:rPr>
        <w:t xml:space="preserve">Además, los estados que forman parte de esta comunidad se benefician </w:t>
      </w:r>
      <w:r w:rsidR="00EE2908" w:rsidRPr="00ED5444">
        <w:rPr>
          <w:color w:val="auto"/>
          <w:lang w:val="es-ES" w:eastAsia="es-ES"/>
        </w:rPr>
        <w:t xml:space="preserve">se benefician mutuamente de la </w:t>
      </w:r>
      <w:r w:rsidR="00EE2908" w:rsidRPr="00ED5444">
        <w:rPr>
          <w:b/>
          <w:bCs/>
          <w:color w:val="auto"/>
          <w:lang w:val="es-ES" w:eastAsia="es-ES"/>
        </w:rPr>
        <w:t>exención de aranceles</w:t>
      </w:r>
      <w:r w:rsidR="00EE2908" w:rsidRPr="00ED5444">
        <w:rPr>
          <w:color w:val="auto"/>
          <w:lang w:val="es-ES" w:eastAsia="es-ES"/>
        </w:rPr>
        <w:t>.</w:t>
      </w:r>
    </w:p>
    <w:p w14:paraId="6C8B1E4C" w14:textId="0A14711C" w:rsidR="00C63DFA" w:rsidRDefault="004863E4" w:rsidP="004863E4">
      <w:pPr>
        <w:rPr>
          <w:color w:val="auto"/>
          <w:lang w:val="es-ES" w:eastAsia="es-ES"/>
        </w:rPr>
      </w:pPr>
      <w:r w:rsidRPr="004863E4">
        <w:rPr>
          <w:color w:val="auto"/>
          <w:lang w:val="es-ES" w:eastAsia="es-ES"/>
        </w:rPr>
        <w:t xml:space="preserve">El </w:t>
      </w:r>
      <w:r w:rsidRPr="004A7FE0">
        <w:rPr>
          <w:b/>
          <w:bCs/>
          <w:color w:val="auto"/>
          <w:lang w:val="es-ES" w:eastAsia="es-ES"/>
        </w:rPr>
        <w:t>croata</w:t>
      </w:r>
      <w:r w:rsidRPr="004863E4">
        <w:rPr>
          <w:color w:val="auto"/>
          <w:lang w:val="es-ES" w:eastAsia="es-ES"/>
        </w:rPr>
        <w:t xml:space="preserve"> es el </w:t>
      </w:r>
      <w:r w:rsidRPr="004A7FE0">
        <w:rPr>
          <w:b/>
          <w:bCs/>
          <w:color w:val="auto"/>
          <w:lang w:val="es-ES" w:eastAsia="es-ES"/>
        </w:rPr>
        <w:t>idioma oficial</w:t>
      </w:r>
      <w:r w:rsidRPr="004863E4">
        <w:rPr>
          <w:color w:val="auto"/>
          <w:lang w:val="es-ES" w:eastAsia="es-ES"/>
        </w:rPr>
        <w:t xml:space="preserve">, pero </w:t>
      </w:r>
      <w:r w:rsidRPr="004A7FE0">
        <w:rPr>
          <w:b/>
          <w:bCs/>
          <w:color w:val="auto"/>
          <w:lang w:val="es-ES" w:eastAsia="es-ES"/>
        </w:rPr>
        <w:t>el inglés se emplea ampliamente</w:t>
      </w:r>
      <w:r w:rsidRPr="004863E4">
        <w:rPr>
          <w:color w:val="auto"/>
          <w:lang w:val="es-ES" w:eastAsia="es-ES"/>
        </w:rPr>
        <w:t xml:space="preserve"> en contextos profesionales. Para concertar reuniones con compañías croatas, es aconsejable </w:t>
      </w:r>
      <w:r w:rsidRPr="004A7FE0">
        <w:rPr>
          <w:color w:val="auto"/>
          <w:u w:val="single"/>
          <w:lang w:val="es-ES" w:eastAsia="es-ES"/>
        </w:rPr>
        <w:t>planificar con antelación</w:t>
      </w:r>
      <w:r w:rsidRPr="004863E4">
        <w:rPr>
          <w:color w:val="auto"/>
          <w:lang w:val="es-ES" w:eastAsia="es-ES"/>
        </w:rPr>
        <w:t xml:space="preserve">. En general, las empresas croatas no suelen responder a correos solicitando reuniones, por lo que es mejor contactarlas directamente o a través de una persona de contacto interna. </w:t>
      </w:r>
      <w:r w:rsidR="00ED5444" w:rsidRPr="00ED5444">
        <w:rPr>
          <w:color w:val="auto"/>
          <w:lang w:val="es-ES" w:eastAsia="es-ES"/>
        </w:rPr>
        <w:t xml:space="preserve">Es relevante destacar que Croacia, que se convirtió en miembro de la Unión Europea en 2013, ha adoptado el </w:t>
      </w:r>
      <w:r w:rsidR="00ED5444" w:rsidRPr="00ED5444">
        <w:rPr>
          <w:b/>
          <w:bCs/>
          <w:color w:val="auto"/>
          <w:lang w:val="es-ES" w:eastAsia="es-ES"/>
        </w:rPr>
        <w:t>euro</w:t>
      </w:r>
      <w:r w:rsidR="00ED5444" w:rsidRPr="00ED5444">
        <w:rPr>
          <w:color w:val="auto"/>
          <w:lang w:val="es-ES" w:eastAsia="es-ES"/>
        </w:rPr>
        <w:t xml:space="preserve"> como su </w:t>
      </w:r>
      <w:r w:rsidR="00ED5444" w:rsidRPr="00ED5444">
        <w:rPr>
          <w:b/>
          <w:bCs/>
          <w:color w:val="auto"/>
          <w:lang w:val="es-ES" w:eastAsia="es-ES"/>
        </w:rPr>
        <w:t>moneda oficial</w:t>
      </w:r>
      <w:r w:rsidR="00ED5444" w:rsidRPr="00ED5444">
        <w:rPr>
          <w:color w:val="auto"/>
          <w:lang w:val="es-ES" w:eastAsia="es-ES"/>
        </w:rPr>
        <w:t xml:space="preserve"> desde enero de 2023 y también </w:t>
      </w:r>
      <w:r w:rsidR="00ED5444" w:rsidRPr="00ED5444">
        <w:rPr>
          <w:b/>
          <w:bCs/>
          <w:color w:val="auto"/>
          <w:lang w:val="es-ES" w:eastAsia="es-ES"/>
        </w:rPr>
        <w:t>forma parte del espacio Schengen</w:t>
      </w:r>
      <w:r w:rsidR="00ED5444" w:rsidRPr="00ED5444">
        <w:rPr>
          <w:color w:val="auto"/>
          <w:lang w:val="es-ES" w:eastAsia="es-ES"/>
        </w:rPr>
        <w:t>.</w:t>
      </w:r>
    </w:p>
    <w:p w14:paraId="154540E0" w14:textId="0B38005E" w:rsidR="009D3840" w:rsidRPr="000C2084" w:rsidRDefault="009D3840" w:rsidP="009D3840">
      <w:pPr>
        <w:rPr>
          <w:color w:val="auto"/>
          <w:lang w:val="es-ES" w:eastAsia="es-ES"/>
        </w:rPr>
      </w:pPr>
      <w:bookmarkStart w:id="45" w:name="_Hlk145949182"/>
      <w:r w:rsidRPr="009D3840">
        <w:rPr>
          <w:color w:val="auto"/>
          <w:lang w:val="es-ES" w:eastAsia="es-ES"/>
        </w:rPr>
        <w:t xml:space="preserve">Por otra parte, al considerar la </w:t>
      </w:r>
      <w:r w:rsidRPr="009D3840">
        <w:rPr>
          <w:b/>
          <w:bCs/>
          <w:color w:val="auto"/>
          <w:lang w:val="es-ES" w:eastAsia="es-ES"/>
        </w:rPr>
        <w:t>entrada en el mercado</w:t>
      </w:r>
      <w:r w:rsidRPr="009D3840">
        <w:rPr>
          <w:color w:val="auto"/>
          <w:lang w:val="es-ES" w:eastAsia="es-ES"/>
        </w:rPr>
        <w:t xml:space="preserve"> de ingenierías y constructoras, se sugiere que la estrategia óptima involucre la </w:t>
      </w:r>
      <w:r w:rsidRPr="000C2084">
        <w:rPr>
          <w:color w:val="auto"/>
          <w:lang w:val="es-ES" w:eastAsia="es-ES"/>
        </w:rPr>
        <w:t>colaboración con un socio local, la subcontratación de empresas locales con experiencia en el sector y tarifas más competitivas, o el establecimiento de una filial en el país con contratación de personal local. Estas alternativas son altamente valoradas en los procesos de adjudicación de licitaciones locales.</w:t>
      </w:r>
      <w:r w:rsidR="00980B5E" w:rsidRPr="000C2084">
        <w:rPr>
          <w:color w:val="auto"/>
          <w:lang w:val="es-ES" w:eastAsia="es-ES"/>
        </w:rPr>
        <w:t xml:space="preserve"> No obstante, es importante destacar que hay un déficit de personal especializado en la construcción y desarrollo de proyectos. Esta escasez repercute en la ejecución y plazos necesarios para llevar a cabo dichos proyectos.</w:t>
      </w:r>
    </w:p>
    <w:bookmarkEnd w:id="45"/>
    <w:p w14:paraId="5C51C760" w14:textId="1391E061" w:rsidR="000A6119" w:rsidRDefault="009D3840" w:rsidP="000A6119">
      <w:pPr>
        <w:rPr>
          <w:color w:val="auto"/>
          <w:lang w:val="es-ES" w:eastAsia="es-ES"/>
        </w:rPr>
      </w:pPr>
      <w:r w:rsidRPr="009D3840">
        <w:rPr>
          <w:color w:val="auto"/>
          <w:lang w:val="es-ES" w:eastAsia="es-ES"/>
        </w:rPr>
        <w:t xml:space="preserve">Además, se recomienda evaluar la posibilidad de establecer </w:t>
      </w:r>
      <w:r w:rsidRPr="000C2084">
        <w:rPr>
          <w:color w:val="auto"/>
          <w:lang w:val="es-ES" w:eastAsia="es-ES"/>
        </w:rPr>
        <w:t>consorcios con empresas extranjeras</w:t>
      </w:r>
      <w:r w:rsidRPr="009D3840">
        <w:rPr>
          <w:color w:val="auto"/>
          <w:lang w:val="es-ES" w:eastAsia="es-ES"/>
        </w:rPr>
        <w:t xml:space="preserve"> </w:t>
      </w:r>
      <w:bookmarkStart w:id="46" w:name="_Hlk145949300"/>
      <w:r w:rsidRPr="009D3840">
        <w:rPr>
          <w:color w:val="auto"/>
          <w:lang w:val="es-ES" w:eastAsia="es-ES"/>
        </w:rPr>
        <w:t>que ya estén activas en el mercado</w:t>
      </w:r>
      <w:bookmarkEnd w:id="46"/>
      <w:r w:rsidRPr="009D3840">
        <w:rPr>
          <w:color w:val="auto"/>
          <w:lang w:val="es-ES" w:eastAsia="es-ES"/>
        </w:rPr>
        <w:t>, o aquellas que ofrezcan ventajas en términos de costos, como las provenientes de países cercanos</w:t>
      </w:r>
      <w:r>
        <w:rPr>
          <w:color w:val="auto"/>
          <w:lang w:val="es-ES" w:eastAsia="es-ES"/>
        </w:rPr>
        <w:t xml:space="preserve">, como </w:t>
      </w:r>
      <w:r w:rsidRPr="009D3840">
        <w:rPr>
          <w:color w:val="auto"/>
          <w:lang w:val="es-ES" w:eastAsia="es-ES"/>
        </w:rPr>
        <w:t>Austria, Eslovenia e Italia</w:t>
      </w:r>
      <w:r>
        <w:rPr>
          <w:color w:val="auto"/>
          <w:lang w:val="es-ES" w:eastAsia="es-ES"/>
        </w:rPr>
        <w:t>.</w:t>
      </w:r>
    </w:p>
    <w:p w14:paraId="64A7A7A1" w14:textId="69D13AC4" w:rsidR="000A6119" w:rsidRDefault="00DF5D3F" w:rsidP="000A6119">
      <w:pPr>
        <w:rPr>
          <w:color w:val="auto"/>
          <w:lang w:val="es-ES" w:eastAsia="es-ES"/>
        </w:rPr>
      </w:pPr>
      <w:r w:rsidRPr="00DF5D3F">
        <w:rPr>
          <w:color w:val="auto"/>
          <w:lang w:val="es-ES" w:eastAsia="es-ES"/>
        </w:rPr>
        <w:t xml:space="preserve">A continuación, se expone el </w:t>
      </w:r>
      <w:r w:rsidRPr="00DF5D3F">
        <w:rPr>
          <w:b/>
          <w:bCs/>
          <w:color w:val="auto"/>
          <w:lang w:val="es-ES" w:eastAsia="es-ES"/>
        </w:rPr>
        <w:t>principal desafío</w:t>
      </w:r>
      <w:r w:rsidRPr="00DF5D3F">
        <w:rPr>
          <w:color w:val="auto"/>
          <w:lang w:val="es-ES" w:eastAsia="es-ES"/>
        </w:rPr>
        <w:t xml:space="preserve"> al que las empresas españolas podrían enfrentarse en Croacia. Este desafío guarda estrecha relación con el proceso de asignación de licitaciones</w:t>
      </w:r>
      <w:r w:rsidR="000A6119">
        <w:rPr>
          <w:color w:val="auto"/>
          <w:lang w:val="es-ES" w:eastAsia="es-ES"/>
        </w:rPr>
        <w:t>:</w:t>
      </w:r>
    </w:p>
    <w:p w14:paraId="086201E8" w14:textId="371C8DA6" w:rsidR="00ED5444" w:rsidRPr="000A6119" w:rsidRDefault="00D83389" w:rsidP="000A6119">
      <w:pPr>
        <w:ind w:left="284" w:hanging="284"/>
        <w:rPr>
          <w:b/>
          <w:color w:val="A91913" w:themeColor="accent1" w:themeShade="BF"/>
        </w:rPr>
      </w:pPr>
      <w:r w:rsidRPr="000A6119">
        <w:rPr>
          <w:b/>
          <w:color w:val="A91913" w:themeColor="accent1" w:themeShade="BF"/>
        </w:rPr>
        <w:t>A</w:t>
      </w:r>
      <w:r w:rsidR="000A6119" w:rsidRPr="000A6119">
        <w:rPr>
          <w:b/>
          <w:color w:val="A91913" w:themeColor="accent1" w:themeShade="BF"/>
        </w:rPr>
        <w:t>djudicación de concursos públicos</w:t>
      </w:r>
    </w:p>
    <w:p w14:paraId="40559FE0" w14:textId="3BB84B66" w:rsidR="00CC7842" w:rsidRPr="000C2084" w:rsidRDefault="00CC7842" w:rsidP="00CC7842">
      <w:pPr>
        <w:rPr>
          <w:lang w:val="es-ES"/>
        </w:rPr>
      </w:pPr>
      <w:r w:rsidRPr="00CC7842">
        <w:rPr>
          <w:lang w:val="es-ES"/>
        </w:rPr>
        <w:t xml:space="preserve">En Croacia, la </w:t>
      </w:r>
      <w:r w:rsidRPr="00D83389">
        <w:rPr>
          <w:b/>
          <w:bCs/>
          <w:lang w:val="es-ES"/>
        </w:rPr>
        <w:t>administración pública</w:t>
      </w:r>
      <w:r w:rsidRPr="00CC7842">
        <w:rPr>
          <w:lang w:val="es-ES"/>
        </w:rPr>
        <w:t xml:space="preserve"> enfrenta problemas de </w:t>
      </w:r>
      <w:r w:rsidRPr="000C2084">
        <w:rPr>
          <w:lang w:val="es-ES"/>
        </w:rPr>
        <w:t>falta de transparencia y una estructura sobredimensionada con personal técnicamente limitado. La ejecución de concursos públicos se ve entorpecida por la excesiva lentitud debido a las frecuentes apelaciones, lo que lleva a un enfoque meticuloso en las formalidades para evitar errores.</w:t>
      </w:r>
    </w:p>
    <w:p w14:paraId="7E03944E" w14:textId="4CD97356" w:rsidR="00CC7842" w:rsidRDefault="00CC7842" w:rsidP="00CC7842">
      <w:pPr>
        <w:rPr>
          <w:lang w:val="es-ES"/>
        </w:rPr>
      </w:pPr>
      <w:r>
        <w:rPr>
          <w:lang w:val="es-ES"/>
        </w:rPr>
        <w:t>Asimismo</w:t>
      </w:r>
      <w:r w:rsidR="00D83389">
        <w:rPr>
          <w:lang w:val="es-ES"/>
        </w:rPr>
        <w:t>,</w:t>
      </w:r>
      <w:r w:rsidRPr="00CC7842">
        <w:rPr>
          <w:lang w:val="es-ES"/>
        </w:rPr>
        <w:t xml:space="preserve"> </w:t>
      </w:r>
      <w:r w:rsidRPr="00C67585">
        <w:rPr>
          <w:b/>
          <w:bCs/>
          <w:lang w:val="es-ES"/>
        </w:rPr>
        <w:t>la competencia ha aumentado</w:t>
      </w:r>
      <w:r w:rsidRPr="00CC7842">
        <w:rPr>
          <w:lang w:val="es-ES"/>
        </w:rPr>
        <w:t xml:space="preserve"> debido a los </w:t>
      </w:r>
      <w:r w:rsidRPr="00C67585">
        <w:rPr>
          <w:lang w:val="es-ES"/>
        </w:rPr>
        <w:t>precios locales</w:t>
      </w:r>
      <w:r w:rsidRPr="00CC7842">
        <w:rPr>
          <w:lang w:val="es-ES"/>
        </w:rPr>
        <w:t xml:space="preserve">, los cuales </w:t>
      </w:r>
      <w:r w:rsidRPr="000C2084">
        <w:rPr>
          <w:lang w:val="es-ES"/>
        </w:rPr>
        <w:t xml:space="preserve">son inferiores a los europeos, y a la cada vez más notable presencia de empresas chinas y turcas. Además, la obligación de redactar toda la </w:t>
      </w:r>
      <w:r w:rsidRPr="000C2084">
        <w:rPr>
          <w:b/>
          <w:bCs/>
          <w:lang w:val="es-ES"/>
        </w:rPr>
        <w:t>documentación en croata</w:t>
      </w:r>
      <w:r w:rsidRPr="000C2084">
        <w:rPr>
          <w:lang w:val="es-ES"/>
        </w:rPr>
        <w:t xml:space="preserve"> aumenta los costos para</w:t>
      </w:r>
      <w:r w:rsidRPr="00CC7842">
        <w:rPr>
          <w:lang w:val="es-ES"/>
        </w:rPr>
        <w:t xml:space="preserve"> empresas extranjeras, como las españolas, que deben traducir todo.</w:t>
      </w:r>
    </w:p>
    <w:p w14:paraId="51FB545D" w14:textId="1D855E0D" w:rsidR="00CE43B4" w:rsidRDefault="00CC7842" w:rsidP="00D1523E">
      <w:pPr>
        <w:rPr>
          <w:lang w:val="es-ES"/>
        </w:rPr>
      </w:pPr>
      <w:r>
        <w:rPr>
          <w:lang w:val="es-ES"/>
        </w:rPr>
        <w:lastRenderedPageBreak/>
        <w:t>En este contexto, a</w:t>
      </w:r>
      <w:r w:rsidR="00D1523E" w:rsidRPr="00D1523E">
        <w:rPr>
          <w:lang w:val="es-ES"/>
        </w:rPr>
        <w:t xml:space="preserve">lgunas empresas españolas han optado por </w:t>
      </w:r>
      <w:r w:rsidR="00D1523E">
        <w:rPr>
          <w:lang w:val="es-ES"/>
        </w:rPr>
        <w:t>retirarse de</w:t>
      </w:r>
      <w:r w:rsidR="00D1523E" w:rsidRPr="00D1523E">
        <w:rPr>
          <w:lang w:val="es-ES"/>
        </w:rPr>
        <w:t xml:space="preserve"> licitaciones en Croacia debido </w:t>
      </w:r>
      <w:r w:rsidR="00D1523E" w:rsidRPr="00341217">
        <w:rPr>
          <w:lang w:val="es-ES"/>
        </w:rPr>
        <w:t>a cancelaciones imprevistas y falta de transparencia en el proceso de adjudicación</w:t>
      </w:r>
      <w:r w:rsidR="00D1523E" w:rsidRPr="00D1523E">
        <w:rPr>
          <w:lang w:val="es-ES"/>
        </w:rPr>
        <w:t>. Aunque estas situaciones han suscitado preocupaciones sobre posibles actos de corrupción y favoritismos, es importante destacar que Croacia está tomando medidas para abordar estas cuestiones.</w:t>
      </w:r>
    </w:p>
    <w:p w14:paraId="66654C4C" w14:textId="018477FA" w:rsidR="00D1523E" w:rsidRPr="00D1523E" w:rsidRDefault="00D1523E" w:rsidP="00D1523E">
      <w:pPr>
        <w:rPr>
          <w:lang w:val="es-ES"/>
        </w:rPr>
      </w:pPr>
      <w:bookmarkStart w:id="47" w:name="_Hlk145950694"/>
      <w:r w:rsidRPr="00D1523E">
        <w:rPr>
          <w:lang w:val="es-ES"/>
        </w:rPr>
        <w:t xml:space="preserve">Desde su adhesión a la Unión Europea, el país ha implementado estrictos estándares de transparencia y eficiencia en la gestión de fondos europeos. En este contexto, el Parlamento croata aprobó una nueva </w:t>
      </w:r>
      <w:r w:rsidRPr="00CE43B4">
        <w:rPr>
          <w:b/>
          <w:bCs/>
          <w:lang w:val="es-ES"/>
        </w:rPr>
        <w:t>ley de contratación pública</w:t>
      </w:r>
      <w:r w:rsidRPr="00D1523E">
        <w:rPr>
          <w:lang w:val="es-ES"/>
        </w:rPr>
        <w:t xml:space="preserve"> en 2016, que entró en vigor en 2017, alineando así el país con las directivas europeas 2014/24/EU y 2014/25/EU.</w:t>
      </w:r>
      <w:r>
        <w:rPr>
          <w:lang w:val="es-ES"/>
        </w:rPr>
        <w:t xml:space="preserve"> </w:t>
      </w:r>
      <w:r w:rsidRPr="00D1523E">
        <w:rPr>
          <w:lang w:val="es-ES"/>
        </w:rPr>
        <w:t xml:space="preserve">A continuación, se detallan los </w:t>
      </w:r>
      <w:r w:rsidRPr="00CE43B4">
        <w:rPr>
          <w:u w:val="single"/>
          <w:lang w:val="es-ES"/>
        </w:rPr>
        <w:t>aspectos más destacados</w:t>
      </w:r>
      <w:r w:rsidRPr="00D1523E">
        <w:rPr>
          <w:lang w:val="es-ES"/>
        </w:rPr>
        <w:t>:</w:t>
      </w:r>
    </w:p>
    <w:p w14:paraId="2196862C" w14:textId="7A82B3F1" w:rsidR="00CE43B4" w:rsidRDefault="00D1523E" w:rsidP="00D1523E">
      <w:pPr>
        <w:pStyle w:val="Prrafodelista"/>
        <w:numPr>
          <w:ilvl w:val="0"/>
          <w:numId w:val="31"/>
        </w:numPr>
        <w:rPr>
          <w:lang w:val="es-ES"/>
        </w:rPr>
      </w:pPr>
      <w:r w:rsidRPr="000C2084">
        <w:rPr>
          <w:lang w:val="es-ES"/>
        </w:rPr>
        <w:t>Criterios de Adjudicación</w:t>
      </w:r>
      <w:r w:rsidR="00CE43B4">
        <w:rPr>
          <w:lang w:val="es-ES"/>
        </w:rPr>
        <w:t>.</w:t>
      </w:r>
    </w:p>
    <w:p w14:paraId="23F0D700" w14:textId="3A7FA072" w:rsidR="00CE43B4" w:rsidRDefault="00D1523E" w:rsidP="00CE43B4">
      <w:pPr>
        <w:pStyle w:val="Prrafodelista"/>
        <w:numPr>
          <w:ilvl w:val="0"/>
          <w:numId w:val="0"/>
        </w:numPr>
        <w:ind w:left="720"/>
        <w:rPr>
          <w:lang w:val="es-ES"/>
        </w:rPr>
      </w:pPr>
      <w:r w:rsidRPr="00CE43B4">
        <w:rPr>
          <w:lang w:val="es-ES"/>
        </w:rPr>
        <w:t>La ley establece como único criterio de adjudicación la oferta económicamente más ventajosa (MEAT), poniendo énfasis en la calidad sobre el precio. Las autoridades no pueden utilizar el precio como único criterio, y el peso relativo del precio o coste no puede superar el 90</w:t>
      </w:r>
      <w:r w:rsidR="000C2084">
        <w:rPr>
          <w:lang w:val="es-ES"/>
        </w:rPr>
        <w:t xml:space="preserve"> </w:t>
      </w:r>
      <w:r w:rsidRPr="00CE43B4">
        <w:rPr>
          <w:lang w:val="es-ES"/>
        </w:rPr>
        <w:t>%, excepto en casos relacionados con la defensa y la seguridad nacional.</w:t>
      </w:r>
    </w:p>
    <w:p w14:paraId="55380FA3" w14:textId="77777777" w:rsidR="00CE43B4" w:rsidRDefault="00D1523E" w:rsidP="00D1523E">
      <w:pPr>
        <w:pStyle w:val="Prrafodelista"/>
        <w:numPr>
          <w:ilvl w:val="0"/>
          <w:numId w:val="31"/>
        </w:numPr>
        <w:rPr>
          <w:lang w:val="es-ES"/>
        </w:rPr>
      </w:pPr>
      <w:r w:rsidRPr="000C2084">
        <w:rPr>
          <w:lang w:val="es-ES"/>
        </w:rPr>
        <w:t>Valor Estimado del Contrato</w:t>
      </w:r>
      <w:r w:rsidR="00CE43B4">
        <w:rPr>
          <w:lang w:val="es-ES"/>
        </w:rPr>
        <w:t>.</w:t>
      </w:r>
    </w:p>
    <w:p w14:paraId="7C7699EB" w14:textId="77777777" w:rsidR="00CE43B4" w:rsidRDefault="00D1523E" w:rsidP="00CE43B4">
      <w:pPr>
        <w:pStyle w:val="Prrafodelista"/>
        <w:numPr>
          <w:ilvl w:val="0"/>
          <w:numId w:val="0"/>
        </w:numPr>
        <w:ind w:left="720"/>
        <w:rPr>
          <w:lang w:val="es-ES"/>
        </w:rPr>
      </w:pPr>
      <w:r w:rsidRPr="00CE43B4">
        <w:rPr>
          <w:lang w:val="es-ES"/>
        </w:rPr>
        <w:t>El valor estimado debe incluir todos los costos, excluido el IVA, y tener en cuenta posibles prórrogas del contrato y otros pagos. Este valor debe ser determinado en la convocatoria y ser válido en el momento de la publicación del anuncio de licitación.</w:t>
      </w:r>
    </w:p>
    <w:p w14:paraId="3E613399" w14:textId="77777777" w:rsidR="00CE43B4" w:rsidRDefault="00D1523E" w:rsidP="00D1523E">
      <w:pPr>
        <w:pStyle w:val="Prrafodelista"/>
        <w:numPr>
          <w:ilvl w:val="0"/>
          <w:numId w:val="31"/>
        </w:numPr>
        <w:rPr>
          <w:lang w:val="es-ES"/>
        </w:rPr>
      </w:pPr>
      <w:r w:rsidRPr="000C2084">
        <w:rPr>
          <w:lang w:val="es-ES"/>
        </w:rPr>
        <w:t>Tipo de Procedimiento</w:t>
      </w:r>
      <w:r w:rsidR="00CE43B4">
        <w:rPr>
          <w:lang w:val="es-ES"/>
        </w:rPr>
        <w:t>.</w:t>
      </w:r>
    </w:p>
    <w:p w14:paraId="5F7AADBC" w14:textId="4D3B0330" w:rsidR="00D1523E" w:rsidRDefault="00D1523E" w:rsidP="00CE43B4">
      <w:pPr>
        <w:pStyle w:val="Prrafodelista"/>
        <w:numPr>
          <w:ilvl w:val="0"/>
          <w:numId w:val="0"/>
        </w:numPr>
        <w:ind w:left="720"/>
        <w:rPr>
          <w:lang w:val="es-ES"/>
        </w:rPr>
      </w:pPr>
      <w:r w:rsidRPr="00CE43B4">
        <w:rPr>
          <w:lang w:val="es-ES"/>
        </w:rPr>
        <w:t>Aunque las autoridades pueden elegir entre procedimientos abiertos, restringidos o negociados, el 85</w:t>
      </w:r>
      <w:r w:rsidR="000C2084">
        <w:rPr>
          <w:lang w:val="es-ES"/>
        </w:rPr>
        <w:t xml:space="preserve"> </w:t>
      </w:r>
      <w:r w:rsidRPr="00CE43B4">
        <w:rPr>
          <w:lang w:val="es-ES"/>
        </w:rPr>
        <w:t>% de los casos se gestionan a través de procedimientos abiertos.</w:t>
      </w:r>
    </w:p>
    <w:p w14:paraId="4CFEC66F" w14:textId="77777777" w:rsidR="00CE43B4" w:rsidRDefault="00D1523E" w:rsidP="00D1523E">
      <w:pPr>
        <w:pStyle w:val="Prrafodelista"/>
        <w:numPr>
          <w:ilvl w:val="0"/>
          <w:numId w:val="31"/>
        </w:numPr>
        <w:rPr>
          <w:lang w:val="es-ES"/>
        </w:rPr>
      </w:pPr>
      <w:r w:rsidRPr="000C2084">
        <w:rPr>
          <w:lang w:val="es-ES"/>
        </w:rPr>
        <w:t>Documentación y Consultas Previas</w:t>
      </w:r>
      <w:r w:rsidR="00CE43B4">
        <w:rPr>
          <w:lang w:val="es-ES"/>
        </w:rPr>
        <w:t>.</w:t>
      </w:r>
    </w:p>
    <w:p w14:paraId="2F36AB70" w14:textId="77777777" w:rsidR="00CE43B4" w:rsidRDefault="00D1523E" w:rsidP="00CE43B4">
      <w:pPr>
        <w:pStyle w:val="Prrafodelista"/>
        <w:numPr>
          <w:ilvl w:val="0"/>
          <w:numId w:val="0"/>
        </w:numPr>
        <w:ind w:left="720"/>
        <w:rPr>
          <w:lang w:val="es-ES"/>
        </w:rPr>
      </w:pPr>
      <w:r w:rsidRPr="00CE43B4">
        <w:rPr>
          <w:lang w:val="es-ES"/>
        </w:rPr>
        <w:t>Se introduce el "Documento Único Europeo de Adquisiciones" (DUEC) para simplificar la documentación necesaria. Además, se requieren consultas previas con operadores económicos interesados antes de lanzar licitaciones significativas, con un período mínimo de cinco días para dichas consultas.</w:t>
      </w:r>
    </w:p>
    <w:p w14:paraId="4183F81D" w14:textId="7ED239D0" w:rsidR="00CE43B4" w:rsidRDefault="00D1523E" w:rsidP="00D1523E">
      <w:pPr>
        <w:pStyle w:val="Prrafodelista"/>
        <w:numPr>
          <w:ilvl w:val="0"/>
          <w:numId w:val="31"/>
        </w:numPr>
        <w:rPr>
          <w:lang w:val="es-ES"/>
        </w:rPr>
      </w:pPr>
      <w:r w:rsidRPr="000C2084">
        <w:rPr>
          <w:lang w:val="es-ES"/>
        </w:rPr>
        <w:t>Garantías Financieras y Apelaciones</w:t>
      </w:r>
      <w:r w:rsidR="00CE43B4">
        <w:rPr>
          <w:lang w:val="es-ES"/>
        </w:rPr>
        <w:t>.</w:t>
      </w:r>
    </w:p>
    <w:p w14:paraId="6E596357" w14:textId="104EFE71" w:rsidR="00D1523E" w:rsidRPr="00CE43B4" w:rsidRDefault="00D1523E" w:rsidP="00CE43B4">
      <w:pPr>
        <w:pStyle w:val="Prrafodelista"/>
        <w:numPr>
          <w:ilvl w:val="0"/>
          <w:numId w:val="0"/>
        </w:numPr>
        <w:ind w:left="720"/>
        <w:rPr>
          <w:lang w:val="es-ES"/>
        </w:rPr>
      </w:pPr>
      <w:r w:rsidRPr="00CE43B4">
        <w:rPr>
          <w:lang w:val="es-ES"/>
        </w:rPr>
        <w:t>La ley estipula límites para las garantías financieras solicitadas y establece un plazo único de 10 días para presentar apelaciones. Además, se fija una tasa única para todas las apelaciones y se eliminan las tasas administrativas.</w:t>
      </w:r>
    </w:p>
    <w:p w14:paraId="3DF1AB81" w14:textId="77777777" w:rsidR="00CE43B4" w:rsidRDefault="00D1523E" w:rsidP="00D1523E">
      <w:pPr>
        <w:pStyle w:val="Prrafodelista"/>
        <w:numPr>
          <w:ilvl w:val="0"/>
          <w:numId w:val="31"/>
        </w:numPr>
        <w:rPr>
          <w:lang w:val="es-ES"/>
        </w:rPr>
      </w:pPr>
      <w:r w:rsidRPr="000C2084">
        <w:rPr>
          <w:lang w:val="es-ES"/>
        </w:rPr>
        <w:t>Modificaciones Contractuales</w:t>
      </w:r>
      <w:r w:rsidR="00CE43B4">
        <w:rPr>
          <w:lang w:val="es-ES"/>
        </w:rPr>
        <w:t>.</w:t>
      </w:r>
    </w:p>
    <w:p w14:paraId="157A735A" w14:textId="6BF6371B" w:rsidR="00CE43B4" w:rsidRDefault="00D1523E" w:rsidP="00CE43B4">
      <w:pPr>
        <w:pStyle w:val="Prrafodelista"/>
        <w:numPr>
          <w:ilvl w:val="0"/>
          <w:numId w:val="0"/>
        </w:numPr>
        <w:ind w:left="720"/>
        <w:rPr>
          <w:lang w:val="es-ES"/>
        </w:rPr>
      </w:pPr>
      <w:r w:rsidRPr="00CE43B4">
        <w:rPr>
          <w:lang w:val="es-ES"/>
        </w:rPr>
        <w:t>La ley permite modificaciones en los contratos durante su vigencia bajo condiciones específicas, con un límite del 30</w:t>
      </w:r>
      <w:r w:rsidR="000C2084">
        <w:rPr>
          <w:lang w:val="es-ES"/>
        </w:rPr>
        <w:t xml:space="preserve"> </w:t>
      </w:r>
      <w:r w:rsidRPr="00CE43B4">
        <w:rPr>
          <w:lang w:val="es-ES"/>
        </w:rPr>
        <w:t>% para cualquier incremento del precio.</w:t>
      </w:r>
    </w:p>
    <w:p w14:paraId="051F7C79" w14:textId="77777777" w:rsidR="00CE43B4" w:rsidRDefault="00D1523E" w:rsidP="00D1523E">
      <w:pPr>
        <w:pStyle w:val="Prrafodelista"/>
        <w:numPr>
          <w:ilvl w:val="0"/>
          <w:numId w:val="31"/>
        </w:numPr>
        <w:rPr>
          <w:lang w:val="es-ES"/>
        </w:rPr>
      </w:pPr>
      <w:r w:rsidRPr="000C2084">
        <w:rPr>
          <w:lang w:val="es-ES"/>
        </w:rPr>
        <w:t>Directivas de la UE Incorporadas</w:t>
      </w:r>
      <w:r w:rsidR="00CE43B4">
        <w:rPr>
          <w:lang w:val="es-ES"/>
        </w:rPr>
        <w:t>.</w:t>
      </w:r>
    </w:p>
    <w:p w14:paraId="675E5813" w14:textId="3D53F464" w:rsidR="00D1523E" w:rsidRDefault="00D1523E" w:rsidP="00CE43B4">
      <w:pPr>
        <w:pStyle w:val="Prrafodelista"/>
        <w:numPr>
          <w:ilvl w:val="0"/>
          <w:numId w:val="0"/>
        </w:numPr>
        <w:ind w:left="720"/>
        <w:rPr>
          <w:lang w:val="es-ES"/>
        </w:rPr>
      </w:pPr>
      <w:r w:rsidRPr="00CE43B4">
        <w:rPr>
          <w:lang w:val="es-ES"/>
        </w:rPr>
        <w:t>La ley incorpora varias directivas de la UE relativas a la contratación pública, incluidas las Directivas 2014/24/EU y 2014/25/EU, así como las directivas del Consejo 89/665/EE</w:t>
      </w:r>
      <w:r w:rsidR="008843EB">
        <w:rPr>
          <w:lang w:val="es-ES"/>
        </w:rPr>
        <w:t>C</w:t>
      </w:r>
      <w:r w:rsidRPr="00CE43B4">
        <w:rPr>
          <w:lang w:val="es-ES"/>
        </w:rPr>
        <w:t xml:space="preserve"> y 92/12/EE</w:t>
      </w:r>
      <w:r w:rsidR="008843EB">
        <w:rPr>
          <w:lang w:val="es-ES"/>
        </w:rPr>
        <w:t>C</w:t>
      </w:r>
      <w:r w:rsidRPr="00CE43B4">
        <w:rPr>
          <w:lang w:val="es-ES"/>
        </w:rPr>
        <w:t>, y los artículos relevantes de la Directiva 2009/81/E</w:t>
      </w:r>
      <w:r w:rsidR="008843EB">
        <w:rPr>
          <w:lang w:val="es-ES"/>
        </w:rPr>
        <w:t>C</w:t>
      </w:r>
      <w:r w:rsidRPr="00CE43B4">
        <w:rPr>
          <w:lang w:val="es-ES"/>
        </w:rPr>
        <w:t>.</w:t>
      </w:r>
    </w:p>
    <w:bookmarkEnd w:id="47"/>
    <w:p w14:paraId="02C04A09" w14:textId="1250A3D2" w:rsidR="00BC3F15" w:rsidRDefault="00BC3F15" w:rsidP="00BC3F15">
      <w:pPr>
        <w:rPr>
          <w:color w:val="auto"/>
          <w:lang w:val="es-ES" w:eastAsia="es-ES"/>
        </w:rPr>
      </w:pPr>
      <w:r>
        <w:rPr>
          <w:lang w:val="es-ES"/>
        </w:rPr>
        <w:t xml:space="preserve">Por último, </w:t>
      </w:r>
      <w:r>
        <w:rPr>
          <w:color w:val="auto"/>
          <w:lang w:val="es-ES" w:eastAsia="es-ES"/>
        </w:rPr>
        <w:t xml:space="preserve">destacar que </w:t>
      </w:r>
      <w:r w:rsidRPr="00BC3F15">
        <w:rPr>
          <w:color w:val="auto"/>
          <w:lang w:val="es-ES" w:eastAsia="es-ES"/>
        </w:rPr>
        <w:t xml:space="preserve">el aumento </w:t>
      </w:r>
      <w:r>
        <w:rPr>
          <w:color w:val="auto"/>
          <w:lang w:val="es-ES" w:eastAsia="es-ES"/>
        </w:rPr>
        <w:t xml:space="preserve">reciente </w:t>
      </w:r>
      <w:r w:rsidRPr="00BC3F15">
        <w:rPr>
          <w:color w:val="auto"/>
          <w:lang w:val="es-ES" w:eastAsia="es-ES"/>
        </w:rPr>
        <w:t xml:space="preserve">en los precios de materias primas y energía complicó la determinación de precios finales </w:t>
      </w:r>
      <w:r>
        <w:rPr>
          <w:color w:val="auto"/>
          <w:lang w:val="es-ES" w:eastAsia="es-ES"/>
        </w:rPr>
        <w:t xml:space="preserve">a la hora de establecer ofertas o presupuestos para los </w:t>
      </w:r>
      <w:r>
        <w:rPr>
          <w:color w:val="auto"/>
          <w:lang w:val="es-ES" w:eastAsia="es-ES"/>
        </w:rPr>
        <w:lastRenderedPageBreak/>
        <w:t>proyectos</w:t>
      </w:r>
      <w:r w:rsidRPr="00BC3F15">
        <w:rPr>
          <w:color w:val="auto"/>
          <w:lang w:val="es-ES" w:eastAsia="es-ES"/>
        </w:rPr>
        <w:t xml:space="preserve">. En respuesta, el </w:t>
      </w:r>
      <w:r>
        <w:rPr>
          <w:color w:val="auto"/>
          <w:lang w:val="es-ES" w:eastAsia="es-ES"/>
        </w:rPr>
        <w:t>G</w:t>
      </w:r>
      <w:r w:rsidRPr="00BC3F15">
        <w:rPr>
          <w:color w:val="auto"/>
          <w:lang w:val="es-ES" w:eastAsia="es-ES"/>
        </w:rPr>
        <w:t xml:space="preserve">obierno croata estableció en junio </w:t>
      </w:r>
      <w:r>
        <w:rPr>
          <w:color w:val="auto"/>
          <w:lang w:val="es-ES" w:eastAsia="es-ES"/>
        </w:rPr>
        <w:t xml:space="preserve">de 2022 </w:t>
      </w:r>
      <w:r w:rsidRPr="00BC3F15">
        <w:rPr>
          <w:color w:val="auto"/>
          <w:lang w:val="es-ES" w:eastAsia="es-ES"/>
        </w:rPr>
        <w:t>que, si el costo de una obra pública aumenta hasta un 10</w:t>
      </w:r>
      <w:r w:rsidR="00556FAB">
        <w:rPr>
          <w:color w:val="auto"/>
          <w:lang w:val="es-ES" w:eastAsia="es-ES"/>
        </w:rPr>
        <w:t xml:space="preserve"> </w:t>
      </w:r>
      <w:r w:rsidRPr="00BC3F15">
        <w:rPr>
          <w:color w:val="auto"/>
          <w:lang w:val="es-ES" w:eastAsia="es-ES"/>
        </w:rPr>
        <w:t>%, el contratista lo asume; si excede ese porcentaje, es responsabilidad del contratante. Esta incertidumbre ha reducido las propuestas en contratación pública y ha generado más cancelaciones y demoras. Sin embargo, se espera una estabilización a corto y medio plazo con una inflación más controlada.</w:t>
      </w:r>
    </w:p>
    <w:p w14:paraId="58D37705" w14:textId="25E4FD49" w:rsidR="00BC3F15" w:rsidRPr="00BC3F15" w:rsidRDefault="00BC3F15" w:rsidP="00BC3F15">
      <w:pPr>
        <w:ind w:left="284" w:hanging="284"/>
        <w:rPr>
          <w:lang w:val="es-ES"/>
        </w:rPr>
      </w:pPr>
    </w:p>
    <w:p w14:paraId="09B2411A" w14:textId="5A56E424" w:rsidR="00F1334E" w:rsidRDefault="00503D96" w:rsidP="007A2D36">
      <w:pPr>
        <w:pStyle w:val="Ttulo1"/>
        <w:ind w:left="0"/>
        <w:rPr>
          <w:lang w:eastAsia="es-ES_tradnl"/>
        </w:rPr>
      </w:pPr>
      <w:bookmarkStart w:id="48" w:name="_Toc148363709"/>
      <w:r>
        <w:rPr>
          <w:lang w:eastAsia="es-ES_tradnl"/>
        </w:rPr>
        <w:lastRenderedPageBreak/>
        <w:t>Información práctica</w:t>
      </w:r>
      <w:bookmarkEnd w:id="48"/>
    </w:p>
    <w:p w14:paraId="64926E49" w14:textId="6820EF58" w:rsidR="009C7E84" w:rsidRPr="00947BC8" w:rsidRDefault="009C7E84" w:rsidP="009C7E84">
      <w:pPr>
        <w:pStyle w:val="Prrafodelista"/>
        <w:rPr>
          <w:b/>
        </w:rPr>
      </w:pPr>
      <w:r w:rsidRPr="00947BC8">
        <w:rPr>
          <w:b/>
        </w:rPr>
        <w:t xml:space="preserve">PUBLICACIONES </w:t>
      </w:r>
      <w:r w:rsidR="00182FE7">
        <w:rPr>
          <w:b/>
        </w:rPr>
        <w:t xml:space="preserve">(EN INGLÉS) </w:t>
      </w:r>
      <w:r w:rsidR="00B3723B">
        <w:rPr>
          <w:b/>
        </w:rPr>
        <w:t xml:space="preserve">DESTACADAS </w:t>
      </w:r>
      <w:r w:rsidR="00B64475">
        <w:rPr>
          <w:b/>
        </w:rPr>
        <w:t>SOBRE EL</w:t>
      </w:r>
      <w:r w:rsidRPr="00947BC8">
        <w:rPr>
          <w:b/>
        </w:rPr>
        <w:t xml:space="preserve"> SECTOR</w:t>
      </w:r>
    </w:p>
    <w:tbl>
      <w:tblPr>
        <w:tblStyle w:val="Tabladelista2-nfasis11"/>
        <w:tblW w:w="5000" w:type="pct"/>
        <w:tblBorders>
          <w:top w:val="single" w:sz="4" w:space="0" w:color="5E5E5E" w:themeColor="text2"/>
          <w:bottom w:val="single" w:sz="4" w:space="0" w:color="5E5E5E" w:themeColor="text2"/>
          <w:insideH w:val="single" w:sz="4" w:space="0" w:color="5E5E5E" w:themeColor="text2"/>
        </w:tblBorders>
        <w:tblCellMar>
          <w:top w:w="57" w:type="dxa"/>
          <w:bottom w:w="57" w:type="dxa"/>
        </w:tblCellMar>
        <w:tblLook w:val="0620" w:firstRow="1" w:lastRow="0" w:firstColumn="0" w:lastColumn="0" w:noHBand="1" w:noVBand="1"/>
      </w:tblPr>
      <w:tblGrid>
        <w:gridCol w:w="2439"/>
        <w:gridCol w:w="7193"/>
      </w:tblGrid>
      <w:tr w:rsidR="009C7E84" w:rsidRPr="003666E1" w14:paraId="5BABECDD" w14:textId="77777777" w:rsidTr="00DA0CB6">
        <w:trPr>
          <w:cnfStyle w:val="100000000000" w:firstRow="1" w:lastRow="0" w:firstColumn="0" w:lastColumn="0" w:oddVBand="0" w:evenVBand="0" w:oddHBand="0" w:evenHBand="0" w:firstRowFirstColumn="0" w:firstRowLastColumn="0" w:lastRowFirstColumn="0" w:lastRowLastColumn="0"/>
          <w:cantSplit/>
          <w:trHeight w:val="23"/>
          <w:tblHeader/>
        </w:trPr>
        <w:tc>
          <w:tcPr>
            <w:tcW w:w="1266" w:type="pct"/>
            <w:shd w:val="clear" w:color="auto" w:fill="auto"/>
          </w:tcPr>
          <w:p w14:paraId="226D129E" w14:textId="08E264A6" w:rsidR="009C7E84" w:rsidRPr="000C2084" w:rsidRDefault="009C7E84" w:rsidP="00DA0CB6">
            <w:pPr>
              <w:pStyle w:val="Rango1Tablas"/>
              <w:jc w:val="left"/>
              <w:rPr>
                <w:rStyle w:val="Referenciasutil"/>
                <w:rFonts w:asciiTheme="majorHAnsi" w:hAnsiTheme="majorHAnsi" w:cstheme="majorHAnsi"/>
                <w:bCs/>
                <w:color w:val="auto"/>
              </w:rPr>
            </w:pPr>
            <w:r w:rsidRPr="000C2084">
              <w:rPr>
                <w:rFonts w:asciiTheme="majorHAnsi" w:hAnsiTheme="majorHAnsi" w:cstheme="majorHAnsi"/>
                <w:color w:val="auto"/>
                <w:sz w:val="18"/>
                <w:szCs w:val="18"/>
              </w:rPr>
              <w:t>Nombre</w:t>
            </w:r>
          </w:p>
        </w:tc>
        <w:tc>
          <w:tcPr>
            <w:tcW w:w="3734" w:type="pct"/>
            <w:shd w:val="clear" w:color="auto" w:fill="auto"/>
          </w:tcPr>
          <w:p w14:paraId="4D6FF8E3" w14:textId="77777777" w:rsidR="009C7E84" w:rsidRPr="000C2084" w:rsidRDefault="009C7E84" w:rsidP="00DA0CB6">
            <w:pPr>
              <w:pStyle w:val="Rango1Tablas"/>
              <w:jc w:val="left"/>
              <w:rPr>
                <w:rFonts w:asciiTheme="majorHAnsi" w:hAnsiTheme="majorHAnsi" w:cstheme="majorHAnsi"/>
                <w:b w:val="0"/>
                <w:bCs/>
                <w:i/>
                <w:iCs/>
                <w:color w:val="373737" w:themeColor="background2" w:themeShade="40"/>
                <w:sz w:val="18"/>
                <w:szCs w:val="18"/>
                <w:lang w:val="en-US" w:eastAsia="en-US"/>
              </w:rPr>
            </w:pPr>
            <w:r w:rsidRPr="000C2084">
              <w:rPr>
                <w:rFonts w:asciiTheme="majorHAnsi" w:hAnsiTheme="majorHAnsi" w:cstheme="majorHAnsi"/>
                <w:b w:val="0"/>
                <w:bCs/>
                <w:i/>
                <w:iCs/>
                <w:color w:val="373737" w:themeColor="background2" w:themeShade="40"/>
                <w:sz w:val="18"/>
                <w:szCs w:val="18"/>
                <w:lang w:val="en-US" w:eastAsia="en-US"/>
              </w:rPr>
              <w:t>Waste and water management in Croatia</w:t>
            </w:r>
          </w:p>
        </w:tc>
      </w:tr>
      <w:tr w:rsidR="009C7E84" w:rsidRPr="007E16A2" w14:paraId="03B081A7" w14:textId="77777777" w:rsidTr="00DA0CB6">
        <w:trPr>
          <w:cnfStyle w:val="100000000000" w:firstRow="1" w:lastRow="0" w:firstColumn="0" w:lastColumn="0" w:oddVBand="0" w:evenVBand="0" w:oddHBand="0" w:evenHBand="0" w:firstRowFirstColumn="0" w:firstRowLastColumn="0" w:lastRowFirstColumn="0" w:lastRowLastColumn="0"/>
          <w:cantSplit/>
          <w:trHeight w:val="105"/>
          <w:tblHeader/>
        </w:trPr>
        <w:tc>
          <w:tcPr>
            <w:tcW w:w="1266" w:type="pct"/>
            <w:shd w:val="clear" w:color="auto" w:fill="auto"/>
          </w:tcPr>
          <w:p w14:paraId="6DAAB04D" w14:textId="77777777" w:rsidR="009C7E84" w:rsidRPr="000C2084" w:rsidRDefault="009C7E84" w:rsidP="00DA0CB6">
            <w:pPr>
              <w:pStyle w:val="DatosTabla"/>
              <w:jc w:val="left"/>
              <w:rPr>
                <w:rFonts w:cstheme="majorHAnsi"/>
                <w:b w:val="0"/>
                <w:szCs w:val="18"/>
              </w:rPr>
            </w:pPr>
            <w:r w:rsidRPr="000C2084">
              <w:rPr>
                <w:rFonts w:cstheme="majorHAnsi"/>
                <w:szCs w:val="18"/>
              </w:rPr>
              <w:t>Contacto</w:t>
            </w:r>
          </w:p>
        </w:tc>
        <w:tc>
          <w:tcPr>
            <w:tcW w:w="3734" w:type="pct"/>
            <w:shd w:val="clear" w:color="auto" w:fill="auto"/>
          </w:tcPr>
          <w:p w14:paraId="483A67E4" w14:textId="4F05518D" w:rsidR="009C7E84" w:rsidRPr="000C2084" w:rsidRDefault="009C7E84" w:rsidP="00DA0CB6">
            <w:pPr>
              <w:pStyle w:val="DatosTabla"/>
              <w:jc w:val="left"/>
              <w:rPr>
                <w:rFonts w:cstheme="majorHAnsi"/>
                <w:szCs w:val="18"/>
                <w:lang w:val="en-US"/>
              </w:rPr>
            </w:pPr>
            <w:r w:rsidRPr="000C2084">
              <w:rPr>
                <w:rFonts w:cstheme="majorHAnsi"/>
                <w:b w:val="0"/>
                <w:szCs w:val="18"/>
                <w:lang w:val="en-US"/>
              </w:rPr>
              <w:t>Belgian Trade Office in Croatia. Luka Matković.</w:t>
            </w:r>
          </w:p>
        </w:tc>
      </w:tr>
      <w:tr w:rsidR="009C7E84" w:rsidRPr="007E16A2" w14:paraId="6559329A" w14:textId="77777777" w:rsidTr="00DA0CB6">
        <w:trPr>
          <w:cnfStyle w:val="100000000000" w:firstRow="1" w:lastRow="0" w:firstColumn="0" w:lastColumn="0" w:oddVBand="0" w:evenVBand="0" w:oddHBand="0" w:evenHBand="0" w:firstRowFirstColumn="0" w:firstRowLastColumn="0" w:lastRowFirstColumn="0" w:lastRowLastColumn="0"/>
          <w:cantSplit/>
          <w:trHeight w:val="15"/>
          <w:tblHeader/>
        </w:trPr>
        <w:tc>
          <w:tcPr>
            <w:tcW w:w="1266" w:type="pct"/>
            <w:shd w:val="clear" w:color="auto" w:fill="auto"/>
          </w:tcPr>
          <w:p w14:paraId="256AA5C2" w14:textId="77777777" w:rsidR="009C7E84" w:rsidRPr="000C2084" w:rsidRDefault="009C7E84" w:rsidP="00DA0CB6">
            <w:pPr>
              <w:pStyle w:val="DatosTabla"/>
              <w:jc w:val="left"/>
              <w:rPr>
                <w:rFonts w:cstheme="majorHAnsi"/>
                <w:b w:val="0"/>
                <w:szCs w:val="18"/>
                <w:lang w:val="en-US"/>
              </w:rPr>
            </w:pPr>
            <w:r w:rsidRPr="000C2084">
              <w:rPr>
                <w:rFonts w:cstheme="majorHAnsi"/>
                <w:szCs w:val="18"/>
                <w:lang w:val="en-US"/>
              </w:rPr>
              <w:t>Dirección</w:t>
            </w:r>
          </w:p>
        </w:tc>
        <w:tc>
          <w:tcPr>
            <w:tcW w:w="3734" w:type="pct"/>
            <w:shd w:val="clear" w:color="auto" w:fill="auto"/>
          </w:tcPr>
          <w:p w14:paraId="0765BEE6" w14:textId="5D3C7618" w:rsidR="009C7E84" w:rsidRPr="000C2084" w:rsidRDefault="009C7E84" w:rsidP="00DA0CB6">
            <w:pPr>
              <w:pStyle w:val="DatosTabla"/>
              <w:jc w:val="left"/>
              <w:rPr>
                <w:rFonts w:cstheme="majorHAnsi"/>
                <w:szCs w:val="18"/>
                <w:lang w:val="en-US"/>
              </w:rPr>
            </w:pPr>
            <w:proofErr w:type="spellStart"/>
            <w:r w:rsidRPr="000C2084">
              <w:rPr>
                <w:rFonts w:cstheme="majorHAnsi"/>
                <w:b w:val="0"/>
                <w:szCs w:val="18"/>
                <w:lang w:val="en-US"/>
              </w:rPr>
              <w:t>Pantov</w:t>
            </w:r>
            <w:r w:rsidR="00D81C87" w:rsidRPr="000C2084">
              <w:rPr>
                <w:rFonts w:cstheme="majorHAnsi"/>
                <w:b w:val="0"/>
                <w:szCs w:val="18"/>
                <w:lang w:val="en-US"/>
              </w:rPr>
              <w:t>č</w:t>
            </w:r>
            <w:r w:rsidRPr="000C2084">
              <w:rPr>
                <w:rFonts w:cstheme="majorHAnsi"/>
                <w:b w:val="0"/>
                <w:szCs w:val="18"/>
                <w:lang w:val="en-US"/>
              </w:rPr>
              <w:t>ak</w:t>
            </w:r>
            <w:proofErr w:type="spellEnd"/>
            <w:r w:rsidRPr="000C2084">
              <w:rPr>
                <w:rFonts w:cstheme="majorHAnsi"/>
                <w:b w:val="0"/>
                <w:szCs w:val="18"/>
                <w:lang w:val="en-US"/>
              </w:rPr>
              <w:t xml:space="preserve"> 125 b1. 10000, Zagreb, Croatia</w:t>
            </w:r>
            <w:r w:rsidR="00442336" w:rsidRPr="000C2084">
              <w:rPr>
                <w:rFonts w:cstheme="majorHAnsi"/>
                <w:b w:val="0"/>
                <w:szCs w:val="18"/>
                <w:lang w:val="en-US"/>
              </w:rPr>
              <w:t>.</w:t>
            </w:r>
          </w:p>
        </w:tc>
      </w:tr>
      <w:tr w:rsidR="009C7E84" w:rsidRPr="007E16A2" w14:paraId="0E140505" w14:textId="77777777" w:rsidTr="00DA0CB6">
        <w:trPr>
          <w:cnfStyle w:val="100000000000" w:firstRow="1" w:lastRow="0" w:firstColumn="0" w:lastColumn="0" w:oddVBand="0" w:evenVBand="0" w:oddHBand="0" w:evenHBand="0" w:firstRowFirstColumn="0" w:firstRowLastColumn="0" w:lastRowFirstColumn="0" w:lastRowLastColumn="0"/>
          <w:cantSplit/>
          <w:trHeight w:val="16"/>
          <w:tblHeader/>
        </w:trPr>
        <w:tc>
          <w:tcPr>
            <w:tcW w:w="1266" w:type="pct"/>
            <w:shd w:val="clear" w:color="auto" w:fill="auto"/>
          </w:tcPr>
          <w:p w14:paraId="29F72EDD" w14:textId="77777777" w:rsidR="009C7E84" w:rsidRPr="000C2084" w:rsidRDefault="009C7E84" w:rsidP="00DA0CB6">
            <w:pPr>
              <w:pStyle w:val="DatosTabla"/>
              <w:jc w:val="left"/>
              <w:rPr>
                <w:rFonts w:cstheme="majorHAnsi"/>
                <w:b w:val="0"/>
                <w:szCs w:val="18"/>
                <w:lang w:val="en-US"/>
              </w:rPr>
            </w:pPr>
            <w:proofErr w:type="spellStart"/>
            <w:r w:rsidRPr="000C2084">
              <w:rPr>
                <w:rFonts w:cstheme="majorHAnsi"/>
                <w:szCs w:val="18"/>
                <w:lang w:val="en-US"/>
              </w:rPr>
              <w:t>Teléfono</w:t>
            </w:r>
            <w:proofErr w:type="spellEnd"/>
          </w:p>
        </w:tc>
        <w:tc>
          <w:tcPr>
            <w:tcW w:w="3734" w:type="pct"/>
            <w:shd w:val="clear" w:color="auto" w:fill="auto"/>
          </w:tcPr>
          <w:p w14:paraId="0ACDA3DD" w14:textId="77777777" w:rsidR="009C7E84" w:rsidRPr="000C2084" w:rsidRDefault="009C7E84" w:rsidP="00DA0CB6">
            <w:pPr>
              <w:pStyle w:val="DatosTabla"/>
              <w:jc w:val="left"/>
              <w:rPr>
                <w:rFonts w:cstheme="majorHAnsi"/>
                <w:szCs w:val="18"/>
                <w:lang w:val="en-US"/>
              </w:rPr>
            </w:pPr>
            <w:r w:rsidRPr="000C2084">
              <w:rPr>
                <w:rFonts w:cstheme="majorHAnsi"/>
                <w:b w:val="0"/>
                <w:szCs w:val="18"/>
                <w:lang w:val="en-US"/>
              </w:rPr>
              <w:t>+385 1 457 74 44</w:t>
            </w:r>
          </w:p>
        </w:tc>
      </w:tr>
      <w:tr w:rsidR="009C7E84" w:rsidRPr="007E16A2" w14:paraId="7B3B1544" w14:textId="77777777" w:rsidTr="00DA0CB6">
        <w:trPr>
          <w:cnfStyle w:val="100000000000" w:firstRow="1" w:lastRow="0" w:firstColumn="0" w:lastColumn="0" w:oddVBand="0" w:evenVBand="0" w:oddHBand="0" w:evenHBand="0" w:firstRowFirstColumn="0" w:firstRowLastColumn="0" w:lastRowFirstColumn="0" w:lastRowLastColumn="0"/>
          <w:cantSplit/>
          <w:trHeight w:val="16"/>
          <w:tblHeader/>
        </w:trPr>
        <w:tc>
          <w:tcPr>
            <w:tcW w:w="1266" w:type="pct"/>
            <w:shd w:val="clear" w:color="auto" w:fill="auto"/>
          </w:tcPr>
          <w:p w14:paraId="311138FB" w14:textId="77777777" w:rsidR="009C7E84" w:rsidRPr="003666E1" w:rsidRDefault="009C7E84" w:rsidP="00DA0CB6">
            <w:pPr>
              <w:pStyle w:val="DatosTabla"/>
              <w:jc w:val="left"/>
              <w:rPr>
                <w:rFonts w:cstheme="majorHAnsi"/>
                <w:b w:val="0"/>
                <w:i/>
                <w:iCs/>
                <w:szCs w:val="18"/>
                <w:lang w:val="en-US"/>
              </w:rPr>
            </w:pPr>
            <w:r w:rsidRPr="003666E1">
              <w:rPr>
                <w:rFonts w:cstheme="majorHAnsi"/>
                <w:i/>
                <w:iCs/>
                <w:szCs w:val="18"/>
                <w:lang w:val="en-US"/>
              </w:rPr>
              <w:t>Correo-e</w:t>
            </w:r>
          </w:p>
        </w:tc>
        <w:tc>
          <w:tcPr>
            <w:tcW w:w="3734" w:type="pct"/>
            <w:shd w:val="clear" w:color="auto" w:fill="auto"/>
          </w:tcPr>
          <w:p w14:paraId="7CC3B671" w14:textId="77777777" w:rsidR="009C7E84" w:rsidRPr="000C2084" w:rsidRDefault="009C7E84" w:rsidP="00DA0CB6">
            <w:pPr>
              <w:pStyle w:val="DatosTabla"/>
              <w:jc w:val="left"/>
              <w:rPr>
                <w:rFonts w:cstheme="majorHAnsi"/>
                <w:szCs w:val="18"/>
                <w:lang w:val="en-US"/>
              </w:rPr>
            </w:pPr>
            <w:r w:rsidRPr="000C2084">
              <w:rPr>
                <w:rFonts w:cstheme="majorHAnsi"/>
                <w:b w:val="0"/>
                <w:szCs w:val="18"/>
                <w:lang w:val="en-US"/>
              </w:rPr>
              <w:t>office@beltrade-croatia.com</w:t>
            </w:r>
          </w:p>
        </w:tc>
      </w:tr>
      <w:tr w:rsidR="009C7E84" w:rsidRPr="007E16A2" w14:paraId="16B77F38" w14:textId="77777777" w:rsidTr="00DA0CB6">
        <w:trPr>
          <w:cnfStyle w:val="100000000000" w:firstRow="1" w:lastRow="0" w:firstColumn="0" w:lastColumn="0" w:oddVBand="0" w:evenVBand="0" w:oddHBand="0" w:evenHBand="0" w:firstRowFirstColumn="0" w:firstRowLastColumn="0" w:lastRowFirstColumn="0" w:lastRowLastColumn="0"/>
          <w:cantSplit/>
          <w:trHeight w:val="175"/>
          <w:tblHeader/>
        </w:trPr>
        <w:tc>
          <w:tcPr>
            <w:tcW w:w="1266" w:type="pct"/>
            <w:shd w:val="clear" w:color="auto" w:fill="auto"/>
          </w:tcPr>
          <w:p w14:paraId="24ABDA99" w14:textId="77777777" w:rsidR="009C7E84" w:rsidRPr="000C2084" w:rsidRDefault="009C7E84" w:rsidP="00DA0CB6">
            <w:pPr>
              <w:pStyle w:val="DatosTabla"/>
              <w:jc w:val="left"/>
              <w:rPr>
                <w:rFonts w:cstheme="majorHAnsi"/>
                <w:b w:val="0"/>
                <w:szCs w:val="18"/>
              </w:rPr>
            </w:pPr>
            <w:r w:rsidRPr="000C2084">
              <w:rPr>
                <w:rFonts w:cstheme="majorHAnsi"/>
                <w:szCs w:val="18"/>
                <w:lang w:val="en-US"/>
              </w:rPr>
              <w:t>Idioma c</w:t>
            </w:r>
            <w:proofErr w:type="spellStart"/>
            <w:r w:rsidRPr="000C2084">
              <w:rPr>
                <w:rFonts w:cstheme="majorHAnsi"/>
                <w:szCs w:val="18"/>
              </w:rPr>
              <w:t>ontacto</w:t>
            </w:r>
            <w:proofErr w:type="spellEnd"/>
          </w:p>
        </w:tc>
        <w:tc>
          <w:tcPr>
            <w:tcW w:w="3734" w:type="pct"/>
            <w:shd w:val="clear" w:color="auto" w:fill="auto"/>
          </w:tcPr>
          <w:p w14:paraId="6FEDF406" w14:textId="77777777" w:rsidR="009C7E84" w:rsidRPr="000C2084" w:rsidRDefault="009C7E84" w:rsidP="00DA0CB6">
            <w:pPr>
              <w:pStyle w:val="DatosTabla"/>
              <w:jc w:val="left"/>
              <w:rPr>
                <w:rFonts w:cstheme="majorHAnsi"/>
                <w:szCs w:val="18"/>
                <w:lang w:val="en-US"/>
              </w:rPr>
            </w:pPr>
            <w:proofErr w:type="spellStart"/>
            <w:r w:rsidRPr="000C2084">
              <w:rPr>
                <w:rFonts w:cstheme="majorHAnsi"/>
                <w:b w:val="0"/>
                <w:szCs w:val="18"/>
                <w:lang w:val="en-US"/>
              </w:rPr>
              <w:t>Inglés</w:t>
            </w:r>
            <w:proofErr w:type="spellEnd"/>
          </w:p>
        </w:tc>
      </w:tr>
      <w:tr w:rsidR="009C7E84" w:rsidRPr="007E16A2" w14:paraId="43C7A515" w14:textId="77777777" w:rsidTr="00DA0CB6">
        <w:trPr>
          <w:cnfStyle w:val="100000000000" w:firstRow="1" w:lastRow="0" w:firstColumn="0" w:lastColumn="0" w:oddVBand="0" w:evenVBand="0" w:oddHBand="0" w:evenHBand="0" w:firstRowFirstColumn="0" w:firstRowLastColumn="0" w:lastRowFirstColumn="0" w:lastRowLastColumn="0"/>
          <w:cantSplit/>
          <w:trHeight w:val="75"/>
          <w:tblHeader/>
        </w:trPr>
        <w:tc>
          <w:tcPr>
            <w:tcW w:w="1266" w:type="pct"/>
            <w:shd w:val="clear" w:color="auto" w:fill="auto"/>
          </w:tcPr>
          <w:p w14:paraId="189856B2" w14:textId="77777777" w:rsidR="009C7E84" w:rsidRPr="000C2084" w:rsidRDefault="009C7E84" w:rsidP="00DA0CB6">
            <w:pPr>
              <w:pStyle w:val="DatosTabla"/>
              <w:jc w:val="left"/>
              <w:rPr>
                <w:rFonts w:cstheme="majorHAnsi"/>
                <w:b w:val="0"/>
                <w:szCs w:val="18"/>
              </w:rPr>
            </w:pPr>
            <w:r w:rsidRPr="000C2084">
              <w:rPr>
                <w:rFonts w:cstheme="majorHAnsi"/>
                <w:szCs w:val="18"/>
              </w:rPr>
              <w:t>WEB</w:t>
            </w:r>
          </w:p>
        </w:tc>
        <w:tc>
          <w:tcPr>
            <w:tcW w:w="3734" w:type="pct"/>
            <w:shd w:val="clear" w:color="auto" w:fill="auto"/>
          </w:tcPr>
          <w:p w14:paraId="2742ABDA" w14:textId="77777777" w:rsidR="009C7E84" w:rsidRPr="000C2084" w:rsidRDefault="003666E1" w:rsidP="00DA0CB6">
            <w:pPr>
              <w:pStyle w:val="DatosTabla"/>
              <w:jc w:val="left"/>
              <w:rPr>
                <w:rStyle w:val="Referenciasutil"/>
                <w:rFonts w:cstheme="majorHAnsi"/>
                <w:b w:val="0"/>
                <w:bCs w:val="0"/>
              </w:rPr>
            </w:pPr>
            <w:hyperlink r:id="rId29" w:history="1">
              <w:r w:rsidR="009C7E84" w:rsidRPr="000C2084">
                <w:rPr>
                  <w:rStyle w:val="Hipervnculo"/>
                  <w:rFonts w:cstheme="majorHAnsi"/>
                  <w:b w:val="0"/>
                  <w:bCs w:val="0"/>
                  <w:sz w:val="18"/>
                  <w:szCs w:val="18"/>
                </w:rPr>
                <w:t>https://www.flandersinvestmentandtrade.com/</w:t>
              </w:r>
            </w:hyperlink>
          </w:p>
        </w:tc>
      </w:tr>
      <w:tr w:rsidR="009C7E84" w:rsidRPr="00A32F79" w14:paraId="6ED1DA9D" w14:textId="77777777" w:rsidTr="00DA0CB6">
        <w:trPr>
          <w:cnfStyle w:val="100000000000" w:firstRow="1" w:lastRow="0" w:firstColumn="0" w:lastColumn="0" w:oddVBand="0" w:evenVBand="0" w:oddHBand="0" w:evenHBand="0" w:firstRowFirstColumn="0" w:firstRowLastColumn="0" w:lastRowFirstColumn="0" w:lastRowLastColumn="0"/>
          <w:cantSplit/>
          <w:trHeight w:val="16"/>
          <w:tblHeader/>
        </w:trPr>
        <w:tc>
          <w:tcPr>
            <w:tcW w:w="1266" w:type="pct"/>
            <w:shd w:val="clear" w:color="auto" w:fill="auto"/>
          </w:tcPr>
          <w:p w14:paraId="5D14FD21" w14:textId="1A167CBF" w:rsidR="009C7E84" w:rsidRPr="000C2084" w:rsidRDefault="009C7E84" w:rsidP="00DA0CB6">
            <w:pPr>
              <w:pStyle w:val="DatosTabla"/>
              <w:jc w:val="left"/>
              <w:rPr>
                <w:rFonts w:cstheme="majorHAnsi"/>
                <w:b w:val="0"/>
                <w:szCs w:val="18"/>
              </w:rPr>
            </w:pPr>
            <w:r w:rsidRPr="000C2084">
              <w:rPr>
                <w:rFonts w:cstheme="majorHAnsi"/>
                <w:szCs w:val="18"/>
              </w:rPr>
              <w:t>Perfil</w:t>
            </w:r>
          </w:p>
        </w:tc>
        <w:tc>
          <w:tcPr>
            <w:tcW w:w="3734" w:type="pct"/>
            <w:shd w:val="clear" w:color="auto" w:fill="auto"/>
          </w:tcPr>
          <w:p w14:paraId="093FC76A" w14:textId="77777777" w:rsidR="009C7E84" w:rsidRPr="000C2084" w:rsidRDefault="009C7E84" w:rsidP="003666E1">
            <w:pPr>
              <w:pStyle w:val="DatosTabla"/>
              <w:jc w:val="both"/>
              <w:rPr>
                <w:rStyle w:val="Referenciasutil"/>
                <w:rFonts w:cstheme="majorHAnsi"/>
              </w:rPr>
            </w:pPr>
            <w:r w:rsidRPr="000C2084">
              <w:rPr>
                <w:rFonts w:cstheme="majorHAnsi"/>
                <w:b w:val="0"/>
                <w:szCs w:val="18"/>
                <w:lang w:val="es-ES"/>
              </w:rPr>
              <w:t>Publicación sobre la gestión de residuos y el tratamiento de las aguas en Croacia. Se trata de un estudio bastante exhaustivo que analiza todo lo relacionado con esta materia.</w:t>
            </w:r>
          </w:p>
        </w:tc>
      </w:tr>
    </w:tbl>
    <w:p w14:paraId="03BCA037" w14:textId="77777777" w:rsidR="009C7E84" w:rsidRDefault="009C7E84" w:rsidP="001D76CD">
      <w:pPr>
        <w:rPr>
          <w:lang w:eastAsia="es-ES_tradnl"/>
        </w:rPr>
      </w:pPr>
    </w:p>
    <w:p w14:paraId="1F6BBF29" w14:textId="41526F55" w:rsidR="009C7E84" w:rsidRPr="007F1FE5" w:rsidRDefault="009C7E84" w:rsidP="009C7E84">
      <w:pPr>
        <w:pStyle w:val="Prrafodelista"/>
        <w:rPr>
          <w:b/>
        </w:rPr>
      </w:pPr>
      <w:r w:rsidRPr="00947BC8">
        <w:rPr>
          <w:b/>
        </w:rPr>
        <w:t>FERIAS</w:t>
      </w:r>
      <w:r w:rsidR="002D20D0">
        <w:rPr>
          <w:b/>
        </w:rPr>
        <w:t xml:space="preserve"> Y CONFERENCIAS</w:t>
      </w:r>
    </w:p>
    <w:tbl>
      <w:tblPr>
        <w:tblStyle w:val="Tabladelista2-nfasis11"/>
        <w:tblW w:w="5000" w:type="pct"/>
        <w:tblBorders>
          <w:top w:val="single" w:sz="4" w:space="0" w:color="5E5E5E" w:themeColor="text2"/>
          <w:bottom w:val="single" w:sz="4" w:space="0" w:color="5E5E5E" w:themeColor="text2"/>
          <w:insideH w:val="single" w:sz="4" w:space="0" w:color="5E5E5E" w:themeColor="text2"/>
        </w:tblBorders>
        <w:tblCellMar>
          <w:top w:w="57" w:type="dxa"/>
          <w:bottom w:w="57" w:type="dxa"/>
        </w:tblCellMar>
        <w:tblLook w:val="0620" w:firstRow="1" w:lastRow="0" w:firstColumn="0" w:lastColumn="0" w:noHBand="1" w:noVBand="1"/>
      </w:tblPr>
      <w:tblGrid>
        <w:gridCol w:w="2445"/>
        <w:gridCol w:w="7187"/>
      </w:tblGrid>
      <w:tr w:rsidR="009C7E84" w:rsidRPr="003666E1" w14:paraId="6BC73E98" w14:textId="77777777" w:rsidTr="00DA0CB6">
        <w:trPr>
          <w:cnfStyle w:val="100000000000" w:firstRow="1" w:lastRow="0" w:firstColumn="0" w:lastColumn="0" w:oddVBand="0" w:evenVBand="0" w:oddHBand="0" w:evenHBand="0" w:firstRowFirstColumn="0" w:firstRowLastColumn="0" w:lastRowFirstColumn="0" w:lastRowLastColumn="0"/>
          <w:cantSplit/>
          <w:trHeight w:val="22"/>
          <w:tblHeader/>
        </w:trPr>
        <w:tc>
          <w:tcPr>
            <w:tcW w:w="1269" w:type="pct"/>
            <w:shd w:val="clear" w:color="auto" w:fill="FFFFFF" w:themeFill="background1"/>
          </w:tcPr>
          <w:p w14:paraId="77826774" w14:textId="75AD0809" w:rsidR="009C7E84" w:rsidRPr="000C2084" w:rsidRDefault="009C7E84" w:rsidP="00DA0CB6">
            <w:pPr>
              <w:pStyle w:val="Rango1Tablas"/>
              <w:jc w:val="left"/>
              <w:rPr>
                <w:rStyle w:val="Referenciasutil"/>
                <w:rFonts w:asciiTheme="majorHAnsi" w:hAnsiTheme="majorHAnsi" w:cstheme="majorHAnsi"/>
                <w:bCs/>
                <w:color w:val="auto"/>
              </w:rPr>
            </w:pPr>
            <w:r w:rsidRPr="000C2084">
              <w:rPr>
                <w:rStyle w:val="Referenciasutil"/>
                <w:rFonts w:asciiTheme="majorHAnsi" w:hAnsiTheme="majorHAnsi" w:cstheme="majorHAnsi"/>
                <w:bCs/>
                <w:color w:val="auto"/>
              </w:rPr>
              <w:t>Nombre</w:t>
            </w:r>
          </w:p>
        </w:tc>
        <w:tc>
          <w:tcPr>
            <w:tcW w:w="3731" w:type="pct"/>
            <w:shd w:val="clear" w:color="auto" w:fill="FFFFFF" w:themeFill="background1"/>
          </w:tcPr>
          <w:p w14:paraId="60C7CB18" w14:textId="3F13211A" w:rsidR="009C7E84" w:rsidRPr="000C2084" w:rsidRDefault="00B778E4" w:rsidP="00DA0CB6">
            <w:pPr>
              <w:pStyle w:val="Rango1Tablas"/>
              <w:jc w:val="left"/>
              <w:rPr>
                <w:rFonts w:asciiTheme="majorHAnsi" w:hAnsiTheme="majorHAnsi" w:cstheme="majorHAnsi"/>
                <w:bCs/>
                <w:color w:val="373737" w:themeColor="background2" w:themeShade="40"/>
                <w:sz w:val="18"/>
                <w:szCs w:val="18"/>
                <w:lang w:val="en-US" w:eastAsia="en-US"/>
              </w:rPr>
            </w:pPr>
            <w:r w:rsidRPr="000C2084">
              <w:rPr>
                <w:rFonts w:asciiTheme="majorHAnsi" w:hAnsiTheme="majorHAnsi" w:cstheme="majorHAnsi"/>
                <w:bCs/>
                <w:color w:val="373737" w:themeColor="background2" w:themeShade="40"/>
                <w:sz w:val="18"/>
                <w:szCs w:val="18"/>
                <w:lang w:val="en-US" w:eastAsia="en-US"/>
              </w:rPr>
              <w:t>BIAM &amp; WEL</w:t>
            </w:r>
            <w:r w:rsidR="00D81C87" w:rsidRPr="000C2084">
              <w:rPr>
                <w:rFonts w:asciiTheme="majorHAnsi" w:hAnsiTheme="majorHAnsi" w:cstheme="majorHAnsi"/>
                <w:bCs/>
                <w:color w:val="373737" w:themeColor="background2" w:themeShade="40"/>
                <w:sz w:val="18"/>
                <w:szCs w:val="18"/>
                <w:lang w:val="en-US" w:eastAsia="en-US"/>
              </w:rPr>
              <w:t>D</w:t>
            </w:r>
            <w:r w:rsidRPr="000C2084">
              <w:rPr>
                <w:rFonts w:asciiTheme="majorHAnsi" w:hAnsiTheme="majorHAnsi" w:cstheme="majorHAnsi"/>
                <w:bCs/>
                <w:color w:val="373737" w:themeColor="background2" w:themeShade="40"/>
                <w:sz w:val="18"/>
                <w:szCs w:val="18"/>
                <w:lang w:val="en-US" w:eastAsia="en-US"/>
              </w:rPr>
              <w:t>ING</w:t>
            </w:r>
            <w:r w:rsidRPr="000C2084">
              <w:rPr>
                <w:rFonts w:asciiTheme="majorHAnsi" w:hAnsiTheme="majorHAnsi" w:cstheme="majorHAnsi"/>
                <w:b w:val="0"/>
                <w:color w:val="373737" w:themeColor="background2" w:themeShade="40"/>
                <w:sz w:val="18"/>
                <w:szCs w:val="18"/>
                <w:lang w:val="en-US" w:eastAsia="en-US"/>
              </w:rPr>
              <w:t>:</w:t>
            </w:r>
            <w:r w:rsidRPr="000C2084">
              <w:rPr>
                <w:rFonts w:asciiTheme="majorHAnsi" w:hAnsiTheme="majorHAnsi" w:cstheme="majorHAnsi"/>
                <w:bCs/>
                <w:color w:val="373737" w:themeColor="background2" w:themeShade="40"/>
                <w:sz w:val="18"/>
                <w:szCs w:val="18"/>
                <w:lang w:val="en-US" w:eastAsia="en-US"/>
              </w:rPr>
              <w:t xml:space="preserve"> </w:t>
            </w:r>
            <w:r w:rsidRPr="000C2084">
              <w:rPr>
                <w:rFonts w:asciiTheme="majorHAnsi" w:hAnsiTheme="majorHAnsi" w:cstheme="majorHAnsi"/>
                <w:b w:val="0"/>
                <w:color w:val="373737" w:themeColor="background2" w:themeShade="40"/>
                <w:sz w:val="18"/>
                <w:szCs w:val="18"/>
                <w:lang w:val="en-US" w:eastAsia="en-US"/>
              </w:rPr>
              <w:t>International Machine Tool and Tools &amp;</w:t>
            </w:r>
            <w:r w:rsidR="00D81C87" w:rsidRPr="000C2084">
              <w:rPr>
                <w:rFonts w:asciiTheme="majorHAnsi" w:hAnsiTheme="majorHAnsi" w:cstheme="majorHAnsi"/>
                <w:b w:val="0"/>
                <w:color w:val="373737" w:themeColor="background2" w:themeShade="40"/>
                <w:sz w:val="18"/>
                <w:szCs w:val="18"/>
                <w:lang w:val="en-US" w:eastAsia="en-US"/>
              </w:rPr>
              <w:t xml:space="preserve"> </w:t>
            </w:r>
            <w:r w:rsidRPr="000C2084">
              <w:rPr>
                <w:rFonts w:asciiTheme="majorHAnsi" w:hAnsiTheme="majorHAnsi" w:cstheme="majorHAnsi"/>
                <w:b w:val="0"/>
                <w:color w:val="373737" w:themeColor="background2" w:themeShade="40"/>
                <w:sz w:val="18"/>
                <w:szCs w:val="18"/>
                <w:lang w:val="en-US" w:eastAsia="en-US"/>
              </w:rPr>
              <w:t>Welding and Anticorrosion Fairs</w:t>
            </w:r>
          </w:p>
        </w:tc>
      </w:tr>
      <w:tr w:rsidR="009C7E84" w:rsidRPr="007E16A2" w14:paraId="20DD541D" w14:textId="77777777" w:rsidTr="00DA0CB6">
        <w:trPr>
          <w:cnfStyle w:val="100000000000" w:firstRow="1" w:lastRow="0" w:firstColumn="0" w:lastColumn="0" w:oddVBand="0" w:evenVBand="0" w:oddHBand="0" w:evenHBand="0" w:firstRowFirstColumn="0" w:firstRowLastColumn="0" w:lastRowFirstColumn="0" w:lastRowLastColumn="0"/>
          <w:cantSplit/>
          <w:trHeight w:val="100"/>
          <w:tblHeader/>
        </w:trPr>
        <w:tc>
          <w:tcPr>
            <w:tcW w:w="1269" w:type="pct"/>
          </w:tcPr>
          <w:p w14:paraId="55B9361E" w14:textId="77777777" w:rsidR="009C7E84" w:rsidRPr="000C2084" w:rsidRDefault="009C7E84" w:rsidP="00DA0CB6">
            <w:pPr>
              <w:pStyle w:val="DatosTabla"/>
              <w:jc w:val="left"/>
              <w:rPr>
                <w:rStyle w:val="Referenciasutil"/>
                <w:rFonts w:cstheme="majorHAnsi"/>
                <w:b w:val="0"/>
              </w:rPr>
            </w:pPr>
            <w:r w:rsidRPr="000C2084">
              <w:rPr>
                <w:rFonts w:cstheme="majorHAnsi"/>
                <w:szCs w:val="18"/>
              </w:rPr>
              <w:t>Dirección</w:t>
            </w:r>
          </w:p>
        </w:tc>
        <w:tc>
          <w:tcPr>
            <w:tcW w:w="3731" w:type="pct"/>
          </w:tcPr>
          <w:p w14:paraId="3D5E0221" w14:textId="38F227FC" w:rsidR="009C7E84" w:rsidRPr="000C2084" w:rsidRDefault="009C7E84" w:rsidP="00DA0CB6">
            <w:pPr>
              <w:pStyle w:val="TextodeCuadrooGrfico"/>
              <w:jc w:val="left"/>
              <w:rPr>
                <w:rFonts w:asciiTheme="majorHAnsi" w:eastAsiaTheme="minorHAnsi" w:hAnsiTheme="majorHAnsi" w:cstheme="majorHAnsi"/>
                <w:b w:val="0"/>
                <w:bCs w:val="0"/>
                <w:color w:val="373737" w:themeColor="background2" w:themeShade="40"/>
                <w:sz w:val="18"/>
                <w:szCs w:val="18"/>
                <w:lang w:val="es-ES_tradnl" w:eastAsia="en-US"/>
              </w:rPr>
            </w:pPr>
            <w:proofErr w:type="spellStart"/>
            <w:r w:rsidRPr="000C2084">
              <w:rPr>
                <w:rFonts w:asciiTheme="majorHAnsi" w:eastAsiaTheme="minorHAnsi" w:hAnsiTheme="majorHAnsi" w:cstheme="majorHAnsi"/>
                <w:b w:val="0"/>
                <w:bCs w:val="0"/>
                <w:color w:val="373737" w:themeColor="background2" w:themeShade="40"/>
                <w:sz w:val="18"/>
                <w:szCs w:val="18"/>
                <w:lang w:val="es-ES_tradnl" w:eastAsia="en-US"/>
              </w:rPr>
              <w:t>Zagreba</w:t>
            </w:r>
            <w:r w:rsidR="00D81C87" w:rsidRPr="000C2084">
              <w:rPr>
                <w:rFonts w:asciiTheme="majorHAnsi" w:eastAsiaTheme="minorHAnsi" w:hAnsiTheme="majorHAnsi" w:cstheme="majorHAnsi"/>
                <w:b w:val="0"/>
                <w:bCs w:val="0"/>
                <w:color w:val="373737" w:themeColor="background2" w:themeShade="40"/>
                <w:sz w:val="18"/>
                <w:szCs w:val="18"/>
                <w:lang w:val="es-ES_tradnl" w:eastAsia="en-US"/>
              </w:rPr>
              <w:t>č</w:t>
            </w:r>
            <w:r w:rsidRPr="000C2084">
              <w:rPr>
                <w:rFonts w:asciiTheme="majorHAnsi" w:eastAsiaTheme="minorHAnsi" w:hAnsiTheme="majorHAnsi" w:cstheme="majorHAnsi"/>
                <w:b w:val="0"/>
                <w:bCs w:val="0"/>
                <w:color w:val="373737" w:themeColor="background2" w:themeShade="40"/>
                <w:sz w:val="18"/>
                <w:szCs w:val="18"/>
                <w:lang w:val="es-ES_tradnl" w:eastAsia="en-US"/>
              </w:rPr>
              <w:t>ki</w:t>
            </w:r>
            <w:proofErr w:type="spellEnd"/>
            <w:r w:rsidRPr="000C2084">
              <w:rPr>
                <w:rFonts w:asciiTheme="majorHAnsi" w:eastAsiaTheme="minorHAnsi" w:hAnsiTheme="majorHAnsi" w:cstheme="majorHAnsi"/>
                <w:b w:val="0"/>
                <w:bCs w:val="0"/>
                <w:color w:val="373737" w:themeColor="background2" w:themeShade="40"/>
                <w:sz w:val="18"/>
                <w:szCs w:val="18"/>
                <w:lang w:val="es-ES_tradnl" w:eastAsia="en-US"/>
              </w:rPr>
              <w:t xml:space="preserve"> </w:t>
            </w:r>
            <w:proofErr w:type="spellStart"/>
            <w:r w:rsidRPr="000C2084">
              <w:rPr>
                <w:rFonts w:asciiTheme="majorHAnsi" w:eastAsiaTheme="minorHAnsi" w:hAnsiTheme="majorHAnsi" w:cstheme="majorHAnsi"/>
                <w:b w:val="0"/>
                <w:bCs w:val="0"/>
                <w:color w:val="373737" w:themeColor="background2" w:themeShade="40"/>
                <w:sz w:val="18"/>
                <w:szCs w:val="18"/>
                <w:lang w:val="es-ES_tradnl" w:eastAsia="en-US"/>
              </w:rPr>
              <w:t>Velesajam</w:t>
            </w:r>
            <w:proofErr w:type="spellEnd"/>
            <w:r w:rsidRPr="000C2084">
              <w:rPr>
                <w:rFonts w:asciiTheme="majorHAnsi" w:eastAsiaTheme="minorHAnsi" w:hAnsiTheme="majorHAnsi" w:cstheme="majorHAnsi"/>
                <w:b w:val="0"/>
                <w:bCs w:val="0"/>
                <w:color w:val="373737" w:themeColor="background2" w:themeShade="40"/>
                <w:sz w:val="18"/>
                <w:szCs w:val="18"/>
                <w:lang w:val="es-ES_tradnl" w:eastAsia="en-US"/>
              </w:rPr>
              <w:t>.</w:t>
            </w:r>
          </w:p>
          <w:p w14:paraId="5A846EAC" w14:textId="48C0D3C7" w:rsidR="009C7E84" w:rsidRPr="000C2084" w:rsidRDefault="009C7E84" w:rsidP="00DA0CB6">
            <w:pPr>
              <w:pStyle w:val="TextodeCuadrooGrfico"/>
              <w:jc w:val="left"/>
              <w:rPr>
                <w:rFonts w:asciiTheme="majorHAnsi" w:eastAsiaTheme="minorHAnsi" w:hAnsiTheme="majorHAnsi" w:cstheme="majorHAnsi"/>
                <w:b w:val="0"/>
                <w:color w:val="373737" w:themeColor="background2" w:themeShade="40"/>
                <w:sz w:val="18"/>
                <w:szCs w:val="18"/>
                <w:lang w:val="es-ES_tradnl" w:eastAsia="en-US"/>
              </w:rPr>
            </w:pPr>
            <w:proofErr w:type="spellStart"/>
            <w:r w:rsidRPr="000C2084">
              <w:rPr>
                <w:rFonts w:asciiTheme="majorHAnsi" w:eastAsiaTheme="minorHAnsi" w:hAnsiTheme="majorHAnsi" w:cstheme="majorHAnsi"/>
                <w:b w:val="0"/>
                <w:color w:val="373737" w:themeColor="background2" w:themeShade="40"/>
                <w:sz w:val="18"/>
                <w:szCs w:val="18"/>
                <w:lang w:val="es-ES_tradnl" w:eastAsia="en-US"/>
              </w:rPr>
              <w:t>Avenija</w:t>
            </w:r>
            <w:proofErr w:type="spellEnd"/>
            <w:r w:rsidRPr="000C2084">
              <w:rPr>
                <w:rFonts w:asciiTheme="majorHAnsi" w:eastAsiaTheme="minorHAnsi" w:hAnsiTheme="majorHAnsi" w:cstheme="majorHAnsi"/>
                <w:b w:val="0"/>
                <w:color w:val="373737" w:themeColor="background2" w:themeShade="40"/>
                <w:sz w:val="18"/>
                <w:szCs w:val="18"/>
                <w:lang w:val="es-ES_tradnl" w:eastAsia="en-US"/>
              </w:rPr>
              <w:t xml:space="preserve"> Dubrovnik 15. </w:t>
            </w:r>
          </w:p>
          <w:p w14:paraId="2596AFA7" w14:textId="12FBB431" w:rsidR="009C7E84" w:rsidRPr="000C2084" w:rsidRDefault="009C7E84" w:rsidP="00DA0CB6">
            <w:pPr>
              <w:pStyle w:val="TextodeCuadrooGrfico"/>
              <w:jc w:val="left"/>
              <w:rPr>
                <w:rFonts w:asciiTheme="majorHAnsi" w:eastAsiaTheme="minorHAnsi" w:hAnsiTheme="majorHAnsi" w:cstheme="majorHAnsi"/>
                <w:b w:val="0"/>
                <w:color w:val="373737" w:themeColor="background2" w:themeShade="40"/>
                <w:sz w:val="18"/>
                <w:szCs w:val="18"/>
                <w:lang w:val="es-ES_tradnl" w:eastAsia="en-US"/>
              </w:rPr>
            </w:pPr>
            <w:r w:rsidRPr="000C2084">
              <w:rPr>
                <w:rFonts w:asciiTheme="majorHAnsi" w:eastAsiaTheme="minorHAnsi" w:hAnsiTheme="majorHAnsi" w:cstheme="majorHAnsi"/>
                <w:b w:val="0"/>
                <w:color w:val="373737" w:themeColor="background2" w:themeShade="40"/>
                <w:sz w:val="18"/>
                <w:szCs w:val="18"/>
                <w:lang w:val="es-ES_tradnl" w:eastAsia="en-US"/>
              </w:rPr>
              <w:t>10020</w:t>
            </w:r>
            <w:r w:rsidR="00B64475" w:rsidRPr="000C2084">
              <w:rPr>
                <w:rFonts w:asciiTheme="majorHAnsi" w:eastAsiaTheme="minorHAnsi" w:hAnsiTheme="majorHAnsi" w:cstheme="majorHAnsi"/>
                <w:b w:val="0"/>
                <w:color w:val="373737" w:themeColor="background2" w:themeShade="40"/>
                <w:sz w:val="18"/>
                <w:szCs w:val="18"/>
                <w:lang w:val="es-ES_tradnl" w:eastAsia="en-US"/>
              </w:rPr>
              <w:t>,</w:t>
            </w:r>
            <w:r w:rsidRPr="000C2084">
              <w:rPr>
                <w:rFonts w:asciiTheme="majorHAnsi" w:eastAsiaTheme="minorHAnsi" w:hAnsiTheme="majorHAnsi" w:cstheme="majorHAnsi"/>
                <w:b w:val="0"/>
                <w:color w:val="373737" w:themeColor="background2" w:themeShade="40"/>
                <w:sz w:val="18"/>
                <w:szCs w:val="18"/>
                <w:lang w:val="es-ES_tradnl" w:eastAsia="en-US"/>
              </w:rPr>
              <w:t xml:space="preserve"> Zagreb, Croatia</w:t>
            </w:r>
            <w:r w:rsidR="00442336" w:rsidRPr="000C2084">
              <w:rPr>
                <w:rFonts w:asciiTheme="majorHAnsi" w:eastAsiaTheme="minorHAnsi" w:hAnsiTheme="majorHAnsi" w:cstheme="majorHAnsi"/>
                <w:b w:val="0"/>
                <w:color w:val="373737" w:themeColor="background2" w:themeShade="40"/>
                <w:sz w:val="18"/>
                <w:szCs w:val="18"/>
                <w:lang w:val="es-ES_tradnl" w:eastAsia="en-US"/>
              </w:rPr>
              <w:t>.</w:t>
            </w:r>
          </w:p>
        </w:tc>
      </w:tr>
      <w:tr w:rsidR="009C7E84" w:rsidRPr="007E16A2" w14:paraId="62FCC82E" w14:textId="77777777" w:rsidTr="00DA0CB6">
        <w:trPr>
          <w:cnfStyle w:val="100000000000" w:firstRow="1" w:lastRow="0" w:firstColumn="0" w:lastColumn="0" w:oddVBand="0" w:evenVBand="0" w:oddHBand="0" w:evenHBand="0" w:firstRowFirstColumn="0" w:firstRowLastColumn="0" w:lastRowFirstColumn="0" w:lastRowLastColumn="0"/>
          <w:cantSplit/>
          <w:trHeight w:val="15"/>
          <w:tblHeader/>
        </w:trPr>
        <w:tc>
          <w:tcPr>
            <w:tcW w:w="1269" w:type="pct"/>
          </w:tcPr>
          <w:p w14:paraId="65F0AA15" w14:textId="77777777" w:rsidR="009C7E84" w:rsidRPr="000C2084" w:rsidRDefault="009C7E84" w:rsidP="00DA0CB6">
            <w:pPr>
              <w:pStyle w:val="DatosTabla"/>
              <w:jc w:val="left"/>
              <w:rPr>
                <w:rStyle w:val="Referenciasutil"/>
                <w:rFonts w:cstheme="majorHAnsi"/>
                <w:b w:val="0"/>
              </w:rPr>
            </w:pPr>
            <w:r w:rsidRPr="000C2084">
              <w:rPr>
                <w:rFonts w:cstheme="majorHAnsi"/>
                <w:szCs w:val="18"/>
              </w:rPr>
              <w:t>Teléfono</w:t>
            </w:r>
          </w:p>
        </w:tc>
        <w:tc>
          <w:tcPr>
            <w:tcW w:w="3731" w:type="pct"/>
          </w:tcPr>
          <w:p w14:paraId="5CB9E7C1" w14:textId="77777777" w:rsidR="009C7E84" w:rsidRPr="000C2084" w:rsidRDefault="009C7E84" w:rsidP="00DA0CB6">
            <w:pPr>
              <w:pStyle w:val="DatosTabla"/>
              <w:jc w:val="left"/>
              <w:rPr>
                <w:rFonts w:cstheme="majorHAnsi"/>
                <w:szCs w:val="18"/>
                <w:lang w:val="es-ES"/>
              </w:rPr>
            </w:pPr>
            <w:r w:rsidRPr="000C2084">
              <w:rPr>
                <w:rFonts w:cstheme="majorHAnsi"/>
                <w:b w:val="0"/>
                <w:szCs w:val="18"/>
                <w:lang w:val="es-ES"/>
              </w:rPr>
              <w:t>+385 (0)52/427427</w:t>
            </w:r>
          </w:p>
        </w:tc>
      </w:tr>
      <w:tr w:rsidR="009C7E84" w:rsidRPr="007E16A2" w14:paraId="76E06F38" w14:textId="77777777" w:rsidTr="00DA0CB6">
        <w:trPr>
          <w:cnfStyle w:val="100000000000" w:firstRow="1" w:lastRow="0" w:firstColumn="0" w:lastColumn="0" w:oddVBand="0" w:evenVBand="0" w:oddHBand="0" w:evenHBand="0" w:firstRowFirstColumn="0" w:firstRowLastColumn="0" w:lastRowFirstColumn="0" w:lastRowLastColumn="0"/>
          <w:cantSplit/>
          <w:trHeight w:val="16"/>
          <w:tblHeader/>
        </w:trPr>
        <w:tc>
          <w:tcPr>
            <w:tcW w:w="1269" w:type="pct"/>
          </w:tcPr>
          <w:p w14:paraId="16986A39" w14:textId="77777777" w:rsidR="009C7E84" w:rsidRPr="000C2084" w:rsidRDefault="009C7E84" w:rsidP="00DA0CB6">
            <w:pPr>
              <w:pStyle w:val="DatosTabla"/>
              <w:jc w:val="left"/>
              <w:rPr>
                <w:rStyle w:val="Referenciasutil"/>
                <w:rFonts w:cstheme="majorHAnsi"/>
                <w:b w:val="0"/>
              </w:rPr>
            </w:pPr>
            <w:r w:rsidRPr="000C2084">
              <w:rPr>
                <w:rFonts w:cstheme="majorHAnsi"/>
                <w:szCs w:val="18"/>
              </w:rPr>
              <w:t>Idioma contacto</w:t>
            </w:r>
          </w:p>
        </w:tc>
        <w:tc>
          <w:tcPr>
            <w:tcW w:w="3731" w:type="pct"/>
          </w:tcPr>
          <w:p w14:paraId="702FDA8E" w14:textId="77777777" w:rsidR="009C7E84" w:rsidRPr="000C2084" w:rsidRDefault="009C7E84" w:rsidP="00DA0CB6">
            <w:pPr>
              <w:pStyle w:val="DatosTabla"/>
              <w:jc w:val="left"/>
              <w:rPr>
                <w:rFonts w:cstheme="majorHAnsi"/>
                <w:szCs w:val="18"/>
                <w:lang w:val="es-ES"/>
              </w:rPr>
            </w:pPr>
            <w:r w:rsidRPr="000C2084">
              <w:rPr>
                <w:rFonts w:cstheme="majorHAnsi"/>
                <w:b w:val="0"/>
                <w:szCs w:val="18"/>
                <w:lang w:val="es-ES"/>
              </w:rPr>
              <w:t>Inglés</w:t>
            </w:r>
          </w:p>
        </w:tc>
      </w:tr>
      <w:tr w:rsidR="009C7E84" w:rsidRPr="007E16A2" w14:paraId="6CBAF39B" w14:textId="77777777" w:rsidTr="00DA0CB6">
        <w:trPr>
          <w:cnfStyle w:val="100000000000" w:firstRow="1" w:lastRow="0" w:firstColumn="0" w:lastColumn="0" w:oddVBand="0" w:evenVBand="0" w:oddHBand="0" w:evenHBand="0" w:firstRowFirstColumn="0" w:firstRowLastColumn="0" w:lastRowFirstColumn="0" w:lastRowLastColumn="0"/>
          <w:cantSplit/>
          <w:trHeight w:val="16"/>
          <w:tblHeader/>
        </w:trPr>
        <w:tc>
          <w:tcPr>
            <w:tcW w:w="1269" w:type="pct"/>
          </w:tcPr>
          <w:p w14:paraId="1B17BE71" w14:textId="77777777" w:rsidR="009C7E84" w:rsidRPr="000C2084" w:rsidRDefault="009C7E84" w:rsidP="00DA0CB6">
            <w:pPr>
              <w:pStyle w:val="DatosTabla"/>
              <w:jc w:val="left"/>
              <w:rPr>
                <w:rStyle w:val="Referenciasutil"/>
                <w:rFonts w:cstheme="majorHAnsi"/>
                <w:b w:val="0"/>
              </w:rPr>
            </w:pPr>
            <w:r w:rsidRPr="000C2084">
              <w:rPr>
                <w:rFonts w:cstheme="majorHAnsi"/>
                <w:szCs w:val="18"/>
              </w:rPr>
              <w:t>WEB</w:t>
            </w:r>
          </w:p>
        </w:tc>
        <w:tc>
          <w:tcPr>
            <w:tcW w:w="3731" w:type="pct"/>
          </w:tcPr>
          <w:p w14:paraId="78F1BBB4" w14:textId="26593916" w:rsidR="009C7E84" w:rsidRPr="000C2084" w:rsidRDefault="003666E1" w:rsidP="00DA0CB6">
            <w:pPr>
              <w:pStyle w:val="DatosTabla"/>
              <w:jc w:val="left"/>
              <w:rPr>
                <w:rStyle w:val="Referenciasutil"/>
                <w:rFonts w:cstheme="majorHAnsi"/>
                <w:b w:val="0"/>
                <w:bCs w:val="0"/>
              </w:rPr>
            </w:pPr>
            <w:hyperlink r:id="rId30" w:history="1">
              <w:r w:rsidR="00D81C87" w:rsidRPr="000C2084">
                <w:rPr>
                  <w:rStyle w:val="Hipervnculo"/>
                  <w:rFonts w:cstheme="majorHAnsi"/>
                  <w:b w:val="0"/>
                  <w:bCs w:val="0"/>
                  <w:sz w:val="18"/>
                  <w:szCs w:val="18"/>
                </w:rPr>
                <w:t>www.zv.hr/fairs-2863/biam-welding-2972/2972</w:t>
              </w:r>
            </w:hyperlink>
            <w:r w:rsidR="00D81C87" w:rsidRPr="000C2084">
              <w:rPr>
                <w:rStyle w:val="Referenciasutil"/>
                <w:rFonts w:cstheme="majorHAnsi"/>
                <w:b w:val="0"/>
                <w:bCs w:val="0"/>
              </w:rPr>
              <w:t xml:space="preserve"> </w:t>
            </w:r>
          </w:p>
        </w:tc>
      </w:tr>
      <w:tr w:rsidR="009C7E84" w:rsidRPr="007E16A2" w14:paraId="12344808" w14:textId="77777777" w:rsidTr="00DA0CB6">
        <w:trPr>
          <w:cnfStyle w:val="100000000000" w:firstRow="1" w:lastRow="0" w:firstColumn="0" w:lastColumn="0" w:oddVBand="0" w:evenVBand="0" w:oddHBand="0" w:evenHBand="0" w:firstRowFirstColumn="0" w:firstRowLastColumn="0" w:lastRowFirstColumn="0" w:lastRowLastColumn="0"/>
          <w:cantSplit/>
          <w:trHeight w:val="167"/>
          <w:tblHeader/>
        </w:trPr>
        <w:tc>
          <w:tcPr>
            <w:tcW w:w="1269" w:type="pct"/>
          </w:tcPr>
          <w:p w14:paraId="5B206E07" w14:textId="77777777" w:rsidR="009C7E84" w:rsidRPr="000C2084" w:rsidRDefault="009C7E84" w:rsidP="00DA0CB6">
            <w:pPr>
              <w:pStyle w:val="DatosTabla"/>
              <w:jc w:val="left"/>
              <w:rPr>
                <w:rStyle w:val="Referenciasutil"/>
                <w:rFonts w:cstheme="majorHAnsi"/>
                <w:color w:val="auto"/>
              </w:rPr>
            </w:pPr>
            <w:r w:rsidRPr="000C2084">
              <w:rPr>
                <w:rFonts w:cstheme="majorHAnsi"/>
                <w:color w:val="auto"/>
                <w:szCs w:val="18"/>
              </w:rPr>
              <w:t>Próxima edición</w:t>
            </w:r>
          </w:p>
        </w:tc>
        <w:tc>
          <w:tcPr>
            <w:tcW w:w="3731" w:type="pct"/>
          </w:tcPr>
          <w:p w14:paraId="0629F1F7" w14:textId="62DFDFE4" w:rsidR="009C7E84" w:rsidRPr="000C2084" w:rsidRDefault="007F1FE5" w:rsidP="00DA0CB6">
            <w:pPr>
              <w:pStyle w:val="Rango1Tablas"/>
              <w:jc w:val="left"/>
              <w:rPr>
                <w:rStyle w:val="Referenciasutil"/>
                <w:rFonts w:asciiTheme="majorHAnsi" w:hAnsiTheme="majorHAnsi" w:cstheme="majorHAnsi"/>
                <w:b w:val="0"/>
                <w:color w:val="auto"/>
              </w:rPr>
            </w:pPr>
            <w:r w:rsidRPr="000C2084">
              <w:rPr>
                <w:rStyle w:val="Referenciasutil"/>
                <w:rFonts w:asciiTheme="majorHAnsi" w:hAnsiTheme="majorHAnsi" w:cstheme="majorHAnsi"/>
                <w:b w:val="0"/>
                <w:color w:val="auto"/>
              </w:rPr>
              <w:t>9</w:t>
            </w:r>
            <w:r w:rsidR="00B778E4" w:rsidRPr="000C2084">
              <w:rPr>
                <w:rStyle w:val="Referenciasutil"/>
                <w:rFonts w:asciiTheme="majorHAnsi" w:hAnsiTheme="majorHAnsi" w:cstheme="majorHAnsi"/>
                <w:b w:val="0"/>
                <w:color w:val="auto"/>
              </w:rPr>
              <w:t>-</w:t>
            </w:r>
            <w:r w:rsidRPr="000C2084">
              <w:rPr>
                <w:rStyle w:val="Referenciasutil"/>
                <w:rFonts w:asciiTheme="majorHAnsi" w:hAnsiTheme="majorHAnsi" w:cstheme="majorHAnsi"/>
                <w:b w:val="0"/>
                <w:color w:val="auto"/>
              </w:rPr>
              <w:t>12</w:t>
            </w:r>
            <w:r w:rsidR="00B778E4" w:rsidRPr="000C2084">
              <w:rPr>
                <w:rStyle w:val="Referenciasutil"/>
                <w:rFonts w:asciiTheme="majorHAnsi" w:hAnsiTheme="majorHAnsi" w:cstheme="majorHAnsi"/>
                <w:b w:val="0"/>
                <w:color w:val="auto"/>
              </w:rPr>
              <w:t xml:space="preserve"> de abril de 202</w:t>
            </w:r>
            <w:r w:rsidR="00D81C87" w:rsidRPr="000C2084">
              <w:rPr>
                <w:rStyle w:val="Referenciasutil"/>
                <w:rFonts w:asciiTheme="majorHAnsi" w:hAnsiTheme="majorHAnsi" w:cstheme="majorHAnsi"/>
                <w:b w:val="0"/>
                <w:color w:val="auto"/>
              </w:rPr>
              <w:t>4</w:t>
            </w:r>
          </w:p>
        </w:tc>
      </w:tr>
      <w:tr w:rsidR="009C7E84" w:rsidRPr="00A32F79" w14:paraId="625EF2FA" w14:textId="77777777" w:rsidTr="00DA0CB6">
        <w:trPr>
          <w:cnfStyle w:val="100000000000" w:firstRow="1" w:lastRow="0" w:firstColumn="0" w:lastColumn="0" w:oddVBand="0" w:evenVBand="0" w:oddHBand="0" w:evenHBand="0" w:firstRowFirstColumn="0" w:firstRowLastColumn="0" w:lastRowFirstColumn="0" w:lastRowLastColumn="0"/>
          <w:cantSplit/>
          <w:trHeight w:val="72"/>
          <w:tblHeader/>
        </w:trPr>
        <w:tc>
          <w:tcPr>
            <w:tcW w:w="1269" w:type="pct"/>
          </w:tcPr>
          <w:p w14:paraId="7ABC1054" w14:textId="77777777" w:rsidR="009C7E84" w:rsidRPr="000C2084" w:rsidRDefault="009C7E84" w:rsidP="00DA0CB6">
            <w:pPr>
              <w:pStyle w:val="DatosTabla"/>
              <w:jc w:val="left"/>
              <w:rPr>
                <w:rStyle w:val="Referenciasutil"/>
                <w:rFonts w:cstheme="majorHAnsi"/>
                <w:b w:val="0"/>
              </w:rPr>
            </w:pPr>
            <w:r w:rsidRPr="000C2084">
              <w:rPr>
                <w:rStyle w:val="Referenciasutil"/>
                <w:rFonts w:cstheme="majorHAnsi"/>
              </w:rPr>
              <w:t>Descripción del evento</w:t>
            </w:r>
          </w:p>
        </w:tc>
        <w:tc>
          <w:tcPr>
            <w:tcW w:w="3731" w:type="pct"/>
          </w:tcPr>
          <w:p w14:paraId="1BCB53EA" w14:textId="3FAB4F21" w:rsidR="009C7E84" w:rsidRPr="000C2084" w:rsidRDefault="007F1FE5" w:rsidP="003666E1">
            <w:pPr>
              <w:pStyle w:val="DatosTabla"/>
              <w:jc w:val="both"/>
              <w:rPr>
                <w:rStyle w:val="Referenciasutil"/>
                <w:rFonts w:cstheme="majorHAnsi"/>
                <w:b w:val="0"/>
              </w:rPr>
            </w:pPr>
            <w:r w:rsidRPr="000C2084">
              <w:rPr>
                <w:rFonts w:cstheme="majorHAnsi"/>
                <w:b w:val="0"/>
                <w:szCs w:val="18"/>
              </w:rPr>
              <w:t>E</w:t>
            </w:r>
            <w:r w:rsidRPr="000C2084">
              <w:rPr>
                <w:b w:val="0"/>
                <w:szCs w:val="18"/>
              </w:rPr>
              <w:t>vento</w:t>
            </w:r>
            <w:r w:rsidRPr="000C2084">
              <w:rPr>
                <w:rFonts w:cstheme="majorHAnsi"/>
                <w:b w:val="0"/>
                <w:szCs w:val="18"/>
              </w:rPr>
              <w:t xml:space="preserve"> b</w:t>
            </w:r>
            <w:r w:rsidRPr="000C2084">
              <w:rPr>
                <w:b w:val="0"/>
                <w:szCs w:val="18"/>
              </w:rPr>
              <w:t xml:space="preserve">ienal </w:t>
            </w:r>
            <w:r w:rsidRPr="000C2084">
              <w:rPr>
                <w:rFonts w:cstheme="majorHAnsi"/>
                <w:b w:val="0"/>
                <w:szCs w:val="18"/>
              </w:rPr>
              <w:t>enfocado en la transformación del metal y la tecnología de soldadura. Consiste en dos ferias paralelas: BIAM se centra en máquinas-herramienta y herramientas, mientras que WELDING se enfoca en soldadura y protección contra la corrosión. Presenta productos y servicios relacionados, dirigidos a empresas de soldadura, ingeniería mecánica y más, ofreciendo también talleres sobre tecnología de soldadura.</w:t>
            </w:r>
          </w:p>
        </w:tc>
      </w:tr>
    </w:tbl>
    <w:p w14:paraId="6F9C38C9" w14:textId="77777777" w:rsidR="009C7E84" w:rsidRDefault="009C7E84" w:rsidP="009C7E84">
      <w:pPr>
        <w:rPr>
          <w:lang w:eastAsia="es-ES_tradnl"/>
        </w:rPr>
      </w:pPr>
    </w:p>
    <w:p w14:paraId="573B5A4C" w14:textId="77777777" w:rsidR="009C7E84" w:rsidRDefault="009C7E84" w:rsidP="009C7E84">
      <w:pPr>
        <w:rPr>
          <w:lang w:eastAsia="es-ES_tradnl"/>
        </w:rPr>
      </w:pPr>
    </w:p>
    <w:tbl>
      <w:tblPr>
        <w:tblStyle w:val="Tabladelista2-nfasis11"/>
        <w:tblW w:w="5000" w:type="pct"/>
        <w:tblBorders>
          <w:top w:val="single" w:sz="4" w:space="0" w:color="5E5E5E" w:themeColor="text2"/>
          <w:bottom w:val="single" w:sz="4" w:space="0" w:color="5E5E5E" w:themeColor="text2"/>
          <w:insideH w:val="single" w:sz="4" w:space="0" w:color="5E5E5E" w:themeColor="text2"/>
        </w:tblBorders>
        <w:tblCellMar>
          <w:top w:w="57" w:type="dxa"/>
          <w:bottom w:w="57" w:type="dxa"/>
        </w:tblCellMar>
        <w:tblLook w:val="0620" w:firstRow="1" w:lastRow="0" w:firstColumn="0" w:lastColumn="0" w:noHBand="1" w:noVBand="1"/>
      </w:tblPr>
      <w:tblGrid>
        <w:gridCol w:w="2447"/>
        <w:gridCol w:w="7185"/>
      </w:tblGrid>
      <w:tr w:rsidR="009C7E84" w:rsidRPr="003666E1" w14:paraId="64AB9356" w14:textId="77777777" w:rsidTr="00DA0CB6">
        <w:trPr>
          <w:cnfStyle w:val="100000000000" w:firstRow="1" w:lastRow="0" w:firstColumn="0" w:lastColumn="0" w:oddVBand="0" w:evenVBand="0" w:oddHBand="0" w:evenHBand="0" w:firstRowFirstColumn="0" w:firstRowLastColumn="0" w:lastRowFirstColumn="0" w:lastRowLastColumn="0"/>
          <w:cantSplit/>
          <w:trHeight w:val="20"/>
          <w:tblHeader/>
        </w:trPr>
        <w:tc>
          <w:tcPr>
            <w:tcW w:w="1270" w:type="pct"/>
            <w:shd w:val="clear" w:color="auto" w:fill="FFFFFF" w:themeFill="background1"/>
          </w:tcPr>
          <w:p w14:paraId="1B040960" w14:textId="21A6CF5A" w:rsidR="009C7E84" w:rsidRPr="000C2084" w:rsidRDefault="009C7E84" w:rsidP="00DA0CB6">
            <w:pPr>
              <w:pStyle w:val="Rango1Tablas"/>
              <w:jc w:val="left"/>
              <w:rPr>
                <w:rStyle w:val="Referenciasutil"/>
                <w:rFonts w:asciiTheme="majorHAnsi" w:hAnsiTheme="majorHAnsi" w:cstheme="majorHAnsi"/>
                <w:bCs/>
                <w:color w:val="auto"/>
              </w:rPr>
            </w:pPr>
            <w:r w:rsidRPr="000C2084">
              <w:rPr>
                <w:rStyle w:val="Referenciasutil"/>
                <w:rFonts w:asciiTheme="majorHAnsi" w:hAnsiTheme="majorHAnsi" w:cstheme="majorHAnsi"/>
                <w:bCs/>
                <w:color w:val="auto"/>
              </w:rPr>
              <w:lastRenderedPageBreak/>
              <w:t>Nombre</w:t>
            </w:r>
          </w:p>
        </w:tc>
        <w:tc>
          <w:tcPr>
            <w:tcW w:w="3730" w:type="pct"/>
            <w:shd w:val="clear" w:color="auto" w:fill="FFFFFF" w:themeFill="background1"/>
          </w:tcPr>
          <w:p w14:paraId="04E873B5" w14:textId="77777777" w:rsidR="009C7E84" w:rsidRPr="000C2084" w:rsidRDefault="009C7E84" w:rsidP="00DA0CB6">
            <w:pPr>
              <w:pStyle w:val="Rango1Tablas"/>
              <w:jc w:val="left"/>
              <w:rPr>
                <w:rFonts w:asciiTheme="majorHAnsi" w:hAnsiTheme="majorHAnsi" w:cstheme="majorHAnsi"/>
                <w:b w:val="0"/>
                <w:color w:val="373737" w:themeColor="background2" w:themeShade="40"/>
                <w:sz w:val="18"/>
                <w:szCs w:val="18"/>
                <w:lang w:val="en-US" w:eastAsia="en-US"/>
              </w:rPr>
            </w:pPr>
            <w:r w:rsidRPr="000C2084">
              <w:rPr>
                <w:rFonts w:asciiTheme="majorHAnsi" w:hAnsiTheme="majorHAnsi" w:cstheme="majorHAnsi"/>
                <w:bCs/>
                <w:color w:val="373737" w:themeColor="background2" w:themeShade="40"/>
                <w:sz w:val="18"/>
                <w:szCs w:val="18"/>
                <w:lang w:val="en-US" w:eastAsia="en-US"/>
              </w:rPr>
              <w:t>SASO</w:t>
            </w:r>
            <w:r w:rsidRPr="000C2084">
              <w:rPr>
                <w:rFonts w:asciiTheme="majorHAnsi" w:hAnsiTheme="majorHAnsi" w:cstheme="majorHAnsi"/>
                <w:b w:val="0"/>
                <w:color w:val="373737" w:themeColor="background2" w:themeShade="40"/>
                <w:sz w:val="18"/>
                <w:szCs w:val="18"/>
                <w:lang w:val="en-US" w:eastAsia="en-US"/>
              </w:rPr>
              <w:t>. International Trade and Industry Exhibition</w:t>
            </w:r>
          </w:p>
        </w:tc>
      </w:tr>
      <w:tr w:rsidR="009C7E84" w:rsidRPr="003666E1" w14:paraId="1139841A" w14:textId="77777777" w:rsidTr="00DA0CB6">
        <w:trPr>
          <w:cnfStyle w:val="100000000000" w:firstRow="1" w:lastRow="0" w:firstColumn="0" w:lastColumn="0" w:oddVBand="0" w:evenVBand="0" w:oddHBand="0" w:evenHBand="0" w:firstRowFirstColumn="0" w:firstRowLastColumn="0" w:lastRowFirstColumn="0" w:lastRowLastColumn="0"/>
          <w:cantSplit/>
          <w:trHeight w:val="94"/>
          <w:tblHeader/>
        </w:trPr>
        <w:tc>
          <w:tcPr>
            <w:tcW w:w="1270" w:type="pct"/>
          </w:tcPr>
          <w:p w14:paraId="25402701" w14:textId="77777777" w:rsidR="009C7E84" w:rsidRPr="000C2084" w:rsidRDefault="009C7E84" w:rsidP="00DA0CB6">
            <w:pPr>
              <w:pStyle w:val="DatosTabla"/>
              <w:jc w:val="left"/>
              <w:rPr>
                <w:rStyle w:val="Referenciasutil"/>
                <w:rFonts w:cstheme="majorHAnsi"/>
                <w:b w:val="0"/>
              </w:rPr>
            </w:pPr>
            <w:r w:rsidRPr="000C2084">
              <w:rPr>
                <w:rFonts w:cstheme="majorHAnsi"/>
                <w:szCs w:val="18"/>
              </w:rPr>
              <w:t>Dirección</w:t>
            </w:r>
          </w:p>
        </w:tc>
        <w:tc>
          <w:tcPr>
            <w:tcW w:w="3730" w:type="pct"/>
          </w:tcPr>
          <w:p w14:paraId="29252642" w14:textId="361306E1" w:rsidR="009C7E84" w:rsidRPr="000C2084" w:rsidRDefault="009C7E84" w:rsidP="00DA0CB6">
            <w:pPr>
              <w:pStyle w:val="TextodeCuadrooGrfico"/>
              <w:jc w:val="left"/>
              <w:rPr>
                <w:rFonts w:asciiTheme="majorHAnsi" w:eastAsiaTheme="minorHAnsi" w:hAnsiTheme="majorHAnsi" w:cstheme="majorHAnsi"/>
                <w:b w:val="0"/>
                <w:bCs w:val="0"/>
                <w:color w:val="373737" w:themeColor="background2" w:themeShade="40"/>
                <w:sz w:val="18"/>
                <w:szCs w:val="18"/>
                <w:lang w:val="en-US" w:eastAsia="en-US"/>
              </w:rPr>
            </w:pPr>
            <w:proofErr w:type="spellStart"/>
            <w:r w:rsidRPr="000C2084">
              <w:rPr>
                <w:rFonts w:asciiTheme="majorHAnsi" w:eastAsiaTheme="minorHAnsi" w:hAnsiTheme="majorHAnsi" w:cstheme="majorHAnsi"/>
                <w:b w:val="0"/>
                <w:bCs w:val="0"/>
                <w:color w:val="373737" w:themeColor="background2" w:themeShade="40"/>
                <w:sz w:val="18"/>
                <w:szCs w:val="18"/>
                <w:lang w:val="en-US" w:eastAsia="en-US"/>
              </w:rPr>
              <w:t>Spaladium</w:t>
            </w:r>
            <w:proofErr w:type="spellEnd"/>
            <w:r w:rsidRPr="000C2084">
              <w:rPr>
                <w:rFonts w:asciiTheme="majorHAnsi" w:eastAsiaTheme="minorHAnsi" w:hAnsiTheme="majorHAnsi" w:cstheme="majorHAnsi"/>
                <w:b w:val="0"/>
                <w:bCs w:val="0"/>
                <w:color w:val="373737" w:themeColor="background2" w:themeShade="40"/>
                <w:sz w:val="18"/>
                <w:szCs w:val="18"/>
                <w:lang w:val="en-US" w:eastAsia="en-US"/>
              </w:rPr>
              <w:t xml:space="preserve"> Arena</w:t>
            </w:r>
            <w:r w:rsidR="00B64475" w:rsidRPr="000C2084">
              <w:rPr>
                <w:rFonts w:asciiTheme="majorHAnsi" w:eastAsiaTheme="minorHAnsi" w:hAnsiTheme="majorHAnsi" w:cstheme="majorHAnsi"/>
                <w:b w:val="0"/>
                <w:bCs w:val="0"/>
                <w:color w:val="373737" w:themeColor="background2" w:themeShade="40"/>
                <w:sz w:val="18"/>
                <w:szCs w:val="18"/>
                <w:lang w:val="en-US" w:eastAsia="en-US"/>
              </w:rPr>
              <w:t>.</w:t>
            </w:r>
            <w:r w:rsidRPr="000C2084">
              <w:rPr>
                <w:rFonts w:asciiTheme="majorHAnsi" w:eastAsiaTheme="minorHAnsi" w:hAnsiTheme="majorHAnsi" w:cstheme="majorHAnsi"/>
                <w:b w:val="0"/>
                <w:bCs w:val="0"/>
                <w:color w:val="373737" w:themeColor="background2" w:themeShade="40"/>
                <w:sz w:val="18"/>
                <w:szCs w:val="18"/>
                <w:lang w:val="en-US" w:eastAsia="en-US"/>
              </w:rPr>
              <w:br/>
            </w:r>
            <w:proofErr w:type="spellStart"/>
            <w:r w:rsidRPr="000C2084">
              <w:rPr>
                <w:rFonts w:asciiTheme="majorHAnsi" w:eastAsiaTheme="minorHAnsi" w:hAnsiTheme="majorHAnsi" w:cstheme="majorHAnsi"/>
                <w:b w:val="0"/>
                <w:bCs w:val="0"/>
                <w:color w:val="373737" w:themeColor="background2" w:themeShade="40"/>
                <w:sz w:val="18"/>
                <w:szCs w:val="18"/>
                <w:lang w:val="en-US" w:eastAsia="en-US"/>
              </w:rPr>
              <w:t>Zrinsko</w:t>
            </w:r>
            <w:proofErr w:type="spellEnd"/>
            <w:r w:rsidRPr="000C2084">
              <w:rPr>
                <w:rFonts w:asciiTheme="majorHAnsi" w:eastAsiaTheme="minorHAnsi" w:hAnsiTheme="majorHAnsi" w:cstheme="majorHAnsi"/>
                <w:b w:val="0"/>
                <w:bCs w:val="0"/>
                <w:color w:val="373737" w:themeColor="background2" w:themeShade="40"/>
                <w:sz w:val="18"/>
                <w:szCs w:val="18"/>
                <w:lang w:val="en-US" w:eastAsia="en-US"/>
              </w:rPr>
              <w:t xml:space="preserve"> - </w:t>
            </w:r>
            <w:proofErr w:type="spellStart"/>
            <w:r w:rsidRPr="000C2084">
              <w:rPr>
                <w:rFonts w:asciiTheme="majorHAnsi" w:eastAsiaTheme="minorHAnsi" w:hAnsiTheme="majorHAnsi" w:cstheme="majorHAnsi"/>
                <w:b w:val="0"/>
                <w:bCs w:val="0"/>
                <w:color w:val="373737" w:themeColor="background2" w:themeShade="40"/>
                <w:sz w:val="18"/>
                <w:szCs w:val="18"/>
                <w:lang w:val="en-US" w:eastAsia="en-US"/>
              </w:rPr>
              <w:t>Frankopanska</w:t>
            </w:r>
            <w:proofErr w:type="spellEnd"/>
            <w:r w:rsidRPr="000C2084">
              <w:rPr>
                <w:rFonts w:asciiTheme="majorHAnsi" w:eastAsiaTheme="minorHAnsi" w:hAnsiTheme="majorHAnsi" w:cstheme="majorHAnsi"/>
                <w:b w:val="0"/>
                <w:bCs w:val="0"/>
                <w:color w:val="373737" w:themeColor="background2" w:themeShade="40"/>
                <w:sz w:val="18"/>
                <w:szCs w:val="18"/>
                <w:lang w:val="en-US" w:eastAsia="en-US"/>
              </w:rPr>
              <w:t xml:space="preserve"> 21</w:t>
            </w:r>
            <w:r w:rsidR="00B64475" w:rsidRPr="000C2084">
              <w:rPr>
                <w:rFonts w:asciiTheme="majorHAnsi" w:eastAsiaTheme="minorHAnsi" w:hAnsiTheme="majorHAnsi" w:cstheme="majorHAnsi"/>
                <w:b w:val="0"/>
                <w:bCs w:val="0"/>
                <w:color w:val="373737" w:themeColor="background2" w:themeShade="40"/>
                <w:sz w:val="18"/>
                <w:szCs w:val="18"/>
                <w:lang w:val="en-US" w:eastAsia="en-US"/>
              </w:rPr>
              <w:t>1.</w:t>
            </w:r>
            <w:r w:rsidRPr="000C2084">
              <w:rPr>
                <w:rFonts w:asciiTheme="majorHAnsi" w:eastAsiaTheme="minorHAnsi" w:hAnsiTheme="majorHAnsi" w:cstheme="majorHAnsi"/>
                <w:b w:val="0"/>
                <w:bCs w:val="0"/>
                <w:color w:val="373737" w:themeColor="background2" w:themeShade="40"/>
                <w:sz w:val="18"/>
                <w:szCs w:val="18"/>
                <w:lang w:val="en-US" w:eastAsia="en-US"/>
              </w:rPr>
              <w:br/>
              <w:t>21000</w:t>
            </w:r>
            <w:r w:rsidR="00B64475" w:rsidRPr="000C2084">
              <w:rPr>
                <w:rFonts w:asciiTheme="majorHAnsi" w:eastAsiaTheme="minorHAnsi" w:hAnsiTheme="majorHAnsi" w:cstheme="majorHAnsi"/>
                <w:b w:val="0"/>
                <w:bCs w:val="0"/>
                <w:color w:val="373737" w:themeColor="background2" w:themeShade="40"/>
                <w:sz w:val="18"/>
                <w:szCs w:val="18"/>
                <w:lang w:val="en-US" w:eastAsia="en-US"/>
              </w:rPr>
              <w:t>,</w:t>
            </w:r>
            <w:r w:rsidRPr="000C2084">
              <w:rPr>
                <w:rFonts w:asciiTheme="majorHAnsi" w:eastAsiaTheme="minorHAnsi" w:hAnsiTheme="majorHAnsi" w:cstheme="majorHAnsi"/>
                <w:b w:val="0"/>
                <w:bCs w:val="0"/>
                <w:color w:val="373737" w:themeColor="background2" w:themeShade="40"/>
                <w:sz w:val="18"/>
                <w:szCs w:val="18"/>
                <w:lang w:val="en-US" w:eastAsia="en-US"/>
              </w:rPr>
              <w:t xml:space="preserve"> Split, Croatia</w:t>
            </w:r>
            <w:r w:rsidR="00442336" w:rsidRPr="000C2084">
              <w:rPr>
                <w:rFonts w:asciiTheme="majorHAnsi" w:eastAsiaTheme="minorHAnsi" w:hAnsiTheme="majorHAnsi" w:cstheme="majorHAnsi"/>
                <w:b w:val="0"/>
                <w:bCs w:val="0"/>
                <w:color w:val="373737" w:themeColor="background2" w:themeShade="40"/>
                <w:sz w:val="18"/>
                <w:szCs w:val="18"/>
                <w:lang w:val="en-US" w:eastAsia="en-US"/>
              </w:rPr>
              <w:t>.</w:t>
            </w:r>
          </w:p>
        </w:tc>
      </w:tr>
      <w:tr w:rsidR="009C7E84" w:rsidRPr="000C2084" w14:paraId="5716F9CC" w14:textId="77777777" w:rsidTr="00DA0CB6">
        <w:trPr>
          <w:cnfStyle w:val="100000000000" w:firstRow="1" w:lastRow="0" w:firstColumn="0" w:lastColumn="0" w:oddVBand="0" w:evenVBand="0" w:oddHBand="0" w:evenHBand="0" w:firstRowFirstColumn="0" w:firstRowLastColumn="0" w:lastRowFirstColumn="0" w:lastRowLastColumn="0"/>
          <w:cantSplit/>
          <w:trHeight w:val="14"/>
          <w:tblHeader/>
        </w:trPr>
        <w:tc>
          <w:tcPr>
            <w:tcW w:w="1270" w:type="pct"/>
          </w:tcPr>
          <w:p w14:paraId="668D8FEB" w14:textId="77777777" w:rsidR="009C7E84" w:rsidRPr="000C2084" w:rsidRDefault="009C7E84" w:rsidP="00DA0CB6">
            <w:pPr>
              <w:pStyle w:val="DatosTabla"/>
              <w:jc w:val="left"/>
              <w:rPr>
                <w:rStyle w:val="Referenciasutil"/>
                <w:rFonts w:cstheme="majorHAnsi"/>
                <w:b w:val="0"/>
              </w:rPr>
            </w:pPr>
            <w:r w:rsidRPr="000C2084">
              <w:rPr>
                <w:rFonts w:cstheme="majorHAnsi"/>
                <w:szCs w:val="18"/>
              </w:rPr>
              <w:t>Teléfono</w:t>
            </w:r>
          </w:p>
        </w:tc>
        <w:tc>
          <w:tcPr>
            <w:tcW w:w="3730" w:type="pct"/>
          </w:tcPr>
          <w:p w14:paraId="5FD7063B" w14:textId="77777777" w:rsidR="009C7E84" w:rsidRPr="000C2084" w:rsidRDefault="009C7E84" w:rsidP="00DA0CB6">
            <w:pPr>
              <w:pStyle w:val="DatosTabla"/>
              <w:jc w:val="left"/>
              <w:rPr>
                <w:rFonts w:cstheme="majorHAnsi"/>
                <w:b w:val="0"/>
                <w:bCs w:val="0"/>
                <w:szCs w:val="18"/>
              </w:rPr>
            </w:pPr>
            <w:r w:rsidRPr="000C2084">
              <w:rPr>
                <w:rFonts w:cstheme="majorHAnsi"/>
                <w:b w:val="0"/>
                <w:bCs w:val="0"/>
                <w:szCs w:val="18"/>
              </w:rPr>
              <w:t>+385 (0)21/435-537</w:t>
            </w:r>
          </w:p>
        </w:tc>
      </w:tr>
      <w:tr w:rsidR="009C7E84" w:rsidRPr="000C2084" w14:paraId="46472FBF" w14:textId="77777777" w:rsidTr="00DA0CB6">
        <w:trPr>
          <w:cnfStyle w:val="100000000000" w:firstRow="1" w:lastRow="0" w:firstColumn="0" w:lastColumn="0" w:oddVBand="0" w:evenVBand="0" w:oddHBand="0" w:evenHBand="0" w:firstRowFirstColumn="0" w:firstRowLastColumn="0" w:lastRowFirstColumn="0" w:lastRowLastColumn="0"/>
          <w:cantSplit/>
          <w:trHeight w:val="15"/>
          <w:tblHeader/>
        </w:trPr>
        <w:tc>
          <w:tcPr>
            <w:tcW w:w="1270" w:type="pct"/>
          </w:tcPr>
          <w:p w14:paraId="2779E452" w14:textId="77777777" w:rsidR="009C7E84" w:rsidRPr="000C2084" w:rsidRDefault="009C7E84" w:rsidP="00DA0CB6">
            <w:pPr>
              <w:pStyle w:val="DatosTabla"/>
              <w:jc w:val="left"/>
              <w:rPr>
                <w:rStyle w:val="Referenciasutil"/>
                <w:rFonts w:cstheme="majorHAnsi"/>
                <w:b w:val="0"/>
              </w:rPr>
            </w:pPr>
            <w:r w:rsidRPr="000C2084">
              <w:rPr>
                <w:rFonts w:cstheme="majorHAnsi"/>
                <w:szCs w:val="18"/>
              </w:rPr>
              <w:t>Idioma contacto</w:t>
            </w:r>
          </w:p>
        </w:tc>
        <w:tc>
          <w:tcPr>
            <w:tcW w:w="3730" w:type="pct"/>
          </w:tcPr>
          <w:p w14:paraId="0A38F622" w14:textId="77777777" w:rsidR="009C7E84" w:rsidRPr="000C2084" w:rsidRDefault="009C7E84" w:rsidP="00DA0CB6">
            <w:pPr>
              <w:pStyle w:val="DatosTabla"/>
              <w:jc w:val="left"/>
              <w:rPr>
                <w:rStyle w:val="Referenciasutil"/>
                <w:rFonts w:cstheme="majorHAnsi"/>
                <w:b w:val="0"/>
                <w:bCs w:val="0"/>
              </w:rPr>
            </w:pPr>
            <w:r w:rsidRPr="000C2084">
              <w:rPr>
                <w:rFonts w:cstheme="majorHAnsi"/>
                <w:b w:val="0"/>
                <w:bCs w:val="0"/>
                <w:szCs w:val="18"/>
              </w:rPr>
              <w:t>Inglés</w:t>
            </w:r>
          </w:p>
        </w:tc>
      </w:tr>
      <w:tr w:rsidR="009C7E84" w:rsidRPr="000C2084" w14:paraId="3C876CC3" w14:textId="77777777" w:rsidTr="00DA0CB6">
        <w:trPr>
          <w:cnfStyle w:val="100000000000" w:firstRow="1" w:lastRow="0" w:firstColumn="0" w:lastColumn="0" w:oddVBand="0" w:evenVBand="0" w:oddHBand="0" w:evenHBand="0" w:firstRowFirstColumn="0" w:firstRowLastColumn="0" w:lastRowFirstColumn="0" w:lastRowLastColumn="0"/>
          <w:cantSplit/>
          <w:trHeight w:val="15"/>
          <w:tblHeader/>
        </w:trPr>
        <w:tc>
          <w:tcPr>
            <w:tcW w:w="1270" w:type="pct"/>
          </w:tcPr>
          <w:p w14:paraId="33FF9179" w14:textId="77777777" w:rsidR="009C7E84" w:rsidRPr="000C2084" w:rsidRDefault="009C7E84" w:rsidP="00DA0CB6">
            <w:pPr>
              <w:pStyle w:val="DatosTabla"/>
              <w:jc w:val="left"/>
              <w:rPr>
                <w:rStyle w:val="Referenciasutil"/>
                <w:rFonts w:cstheme="majorHAnsi"/>
                <w:b w:val="0"/>
              </w:rPr>
            </w:pPr>
            <w:r w:rsidRPr="000C2084">
              <w:rPr>
                <w:rFonts w:cstheme="majorHAnsi"/>
                <w:szCs w:val="18"/>
              </w:rPr>
              <w:t>WEB</w:t>
            </w:r>
          </w:p>
        </w:tc>
        <w:tc>
          <w:tcPr>
            <w:tcW w:w="3730" w:type="pct"/>
          </w:tcPr>
          <w:p w14:paraId="6E7C95B0" w14:textId="5AB3DB28" w:rsidR="009C7E84" w:rsidRPr="000C2084" w:rsidRDefault="003666E1" w:rsidP="00DA0CB6">
            <w:pPr>
              <w:pStyle w:val="DatosTabla"/>
              <w:jc w:val="left"/>
              <w:rPr>
                <w:rStyle w:val="Referenciasutil"/>
                <w:rFonts w:cstheme="majorHAnsi"/>
                <w:b w:val="0"/>
                <w:bCs w:val="0"/>
              </w:rPr>
            </w:pPr>
            <w:hyperlink r:id="rId31" w:history="1">
              <w:r w:rsidR="00B778E4" w:rsidRPr="000C2084">
                <w:rPr>
                  <w:rStyle w:val="Hipervnculo"/>
                  <w:rFonts w:cstheme="majorHAnsi"/>
                  <w:b w:val="0"/>
                  <w:bCs w:val="0"/>
                  <w:sz w:val="18"/>
                  <w:szCs w:val="18"/>
                </w:rPr>
                <w:t>www.sasofair.com/</w:t>
              </w:r>
            </w:hyperlink>
          </w:p>
        </w:tc>
      </w:tr>
      <w:tr w:rsidR="009C7E84" w:rsidRPr="000C2084" w14:paraId="6F94140A" w14:textId="77777777" w:rsidTr="00DA0CB6">
        <w:trPr>
          <w:cnfStyle w:val="100000000000" w:firstRow="1" w:lastRow="0" w:firstColumn="0" w:lastColumn="0" w:oddVBand="0" w:evenVBand="0" w:oddHBand="0" w:evenHBand="0" w:firstRowFirstColumn="0" w:firstRowLastColumn="0" w:lastRowFirstColumn="0" w:lastRowLastColumn="0"/>
          <w:cantSplit/>
          <w:trHeight w:val="157"/>
          <w:tblHeader/>
        </w:trPr>
        <w:tc>
          <w:tcPr>
            <w:tcW w:w="1270" w:type="pct"/>
          </w:tcPr>
          <w:p w14:paraId="32643701" w14:textId="77777777" w:rsidR="009C7E84" w:rsidRPr="000C2084" w:rsidRDefault="009C7E84" w:rsidP="00DA0CB6">
            <w:pPr>
              <w:pStyle w:val="DatosTabla"/>
              <w:jc w:val="left"/>
              <w:rPr>
                <w:rStyle w:val="Referenciasutil"/>
                <w:rFonts w:cstheme="majorHAnsi"/>
                <w:b w:val="0"/>
              </w:rPr>
            </w:pPr>
            <w:r w:rsidRPr="000C2084">
              <w:rPr>
                <w:rFonts w:cstheme="majorHAnsi"/>
                <w:szCs w:val="18"/>
              </w:rPr>
              <w:t>Próxima edición</w:t>
            </w:r>
          </w:p>
        </w:tc>
        <w:tc>
          <w:tcPr>
            <w:tcW w:w="3730" w:type="pct"/>
          </w:tcPr>
          <w:p w14:paraId="499EE3C0" w14:textId="42210615" w:rsidR="009C7E84" w:rsidRPr="000C2084" w:rsidRDefault="00B64475" w:rsidP="00DA0CB6">
            <w:pPr>
              <w:pStyle w:val="DatosTabla"/>
              <w:jc w:val="left"/>
              <w:rPr>
                <w:rFonts w:cstheme="majorHAnsi"/>
                <w:b w:val="0"/>
                <w:bCs w:val="0"/>
                <w:szCs w:val="18"/>
              </w:rPr>
            </w:pPr>
            <w:r w:rsidRPr="000C2084">
              <w:rPr>
                <w:rFonts w:cstheme="majorHAnsi"/>
                <w:b w:val="0"/>
                <w:bCs w:val="0"/>
                <w:szCs w:val="18"/>
              </w:rPr>
              <w:t>18</w:t>
            </w:r>
            <w:r w:rsidR="006A2876" w:rsidRPr="000C2084">
              <w:rPr>
                <w:rFonts w:cstheme="majorHAnsi"/>
                <w:b w:val="0"/>
                <w:bCs w:val="0"/>
                <w:szCs w:val="18"/>
              </w:rPr>
              <w:t>-</w:t>
            </w:r>
            <w:r w:rsidRPr="000C2084">
              <w:rPr>
                <w:rFonts w:cstheme="majorHAnsi"/>
                <w:b w:val="0"/>
                <w:bCs w:val="0"/>
                <w:szCs w:val="18"/>
              </w:rPr>
              <w:t>21</w:t>
            </w:r>
            <w:r w:rsidR="006A2876" w:rsidRPr="000C2084">
              <w:rPr>
                <w:rFonts w:cstheme="majorHAnsi"/>
                <w:b w:val="0"/>
                <w:bCs w:val="0"/>
                <w:szCs w:val="18"/>
              </w:rPr>
              <w:t xml:space="preserve"> de </w:t>
            </w:r>
            <w:r w:rsidRPr="000C2084">
              <w:rPr>
                <w:rFonts w:cstheme="majorHAnsi"/>
                <w:b w:val="0"/>
                <w:bCs w:val="0"/>
                <w:szCs w:val="18"/>
              </w:rPr>
              <w:t>octubre</w:t>
            </w:r>
            <w:r w:rsidR="006A2876" w:rsidRPr="000C2084">
              <w:rPr>
                <w:rFonts w:cstheme="majorHAnsi"/>
                <w:b w:val="0"/>
                <w:bCs w:val="0"/>
                <w:szCs w:val="18"/>
              </w:rPr>
              <w:t xml:space="preserve"> de 202</w:t>
            </w:r>
            <w:r w:rsidRPr="000C2084">
              <w:rPr>
                <w:rFonts w:cstheme="majorHAnsi"/>
                <w:b w:val="0"/>
                <w:bCs w:val="0"/>
                <w:szCs w:val="18"/>
              </w:rPr>
              <w:t>3</w:t>
            </w:r>
          </w:p>
        </w:tc>
      </w:tr>
      <w:tr w:rsidR="009C7E84" w:rsidRPr="000C2084" w14:paraId="7809FDA7" w14:textId="77777777" w:rsidTr="00DA0CB6">
        <w:trPr>
          <w:cnfStyle w:val="100000000000" w:firstRow="1" w:lastRow="0" w:firstColumn="0" w:lastColumn="0" w:oddVBand="0" w:evenVBand="0" w:oddHBand="0" w:evenHBand="0" w:firstRowFirstColumn="0" w:firstRowLastColumn="0" w:lastRowFirstColumn="0" w:lastRowLastColumn="0"/>
          <w:cantSplit/>
          <w:trHeight w:val="68"/>
          <w:tblHeader/>
        </w:trPr>
        <w:tc>
          <w:tcPr>
            <w:tcW w:w="1270" w:type="pct"/>
          </w:tcPr>
          <w:p w14:paraId="1ED1B4ED" w14:textId="77777777" w:rsidR="009C7E84" w:rsidRPr="000C2084" w:rsidRDefault="009C7E84" w:rsidP="00DA0CB6">
            <w:pPr>
              <w:pStyle w:val="DatosTabla"/>
              <w:jc w:val="left"/>
              <w:rPr>
                <w:rStyle w:val="Referenciasutil"/>
                <w:rFonts w:cstheme="majorHAnsi"/>
                <w:b w:val="0"/>
              </w:rPr>
            </w:pPr>
            <w:r w:rsidRPr="000C2084">
              <w:rPr>
                <w:rStyle w:val="Referenciasutil"/>
                <w:rFonts w:cstheme="majorHAnsi"/>
              </w:rPr>
              <w:t>Descripción del evento</w:t>
            </w:r>
          </w:p>
        </w:tc>
        <w:tc>
          <w:tcPr>
            <w:tcW w:w="3730" w:type="pct"/>
          </w:tcPr>
          <w:p w14:paraId="6E16B426" w14:textId="07F33D6E" w:rsidR="009C7E84" w:rsidRPr="000C2084" w:rsidRDefault="009C7E84" w:rsidP="003666E1">
            <w:pPr>
              <w:pStyle w:val="DatosTabla"/>
              <w:jc w:val="both"/>
              <w:rPr>
                <w:rFonts w:cstheme="majorHAnsi"/>
                <w:b w:val="0"/>
                <w:bCs w:val="0"/>
                <w:szCs w:val="18"/>
              </w:rPr>
            </w:pPr>
            <w:r w:rsidRPr="000C2084">
              <w:rPr>
                <w:rFonts w:cstheme="majorHAnsi"/>
                <w:b w:val="0"/>
                <w:bCs w:val="0"/>
                <w:szCs w:val="18"/>
              </w:rPr>
              <w:t>Feria sobre ingeniería eléctrica y electrónica, redes de ordenadores, industrias del metal y la madera, producción energética y transporte, construcción y herramientas para maquinaria.</w:t>
            </w:r>
          </w:p>
        </w:tc>
      </w:tr>
    </w:tbl>
    <w:p w14:paraId="51BE8F56" w14:textId="25778587" w:rsidR="009C7E84" w:rsidRPr="000C2084" w:rsidRDefault="009C7E84" w:rsidP="009C7E84">
      <w:pPr>
        <w:rPr>
          <w:sz w:val="18"/>
          <w:szCs w:val="18"/>
          <w:lang w:eastAsia="es-ES_tradnl"/>
        </w:rPr>
      </w:pPr>
    </w:p>
    <w:tbl>
      <w:tblPr>
        <w:tblStyle w:val="Tabladelista2-nfasis11"/>
        <w:tblW w:w="5000" w:type="pct"/>
        <w:tblBorders>
          <w:top w:val="single" w:sz="4" w:space="0" w:color="5E5E5E" w:themeColor="text2"/>
          <w:bottom w:val="single" w:sz="4" w:space="0" w:color="5E5E5E" w:themeColor="text2"/>
          <w:insideH w:val="single" w:sz="4" w:space="0" w:color="5E5E5E" w:themeColor="text2"/>
        </w:tblBorders>
        <w:tblCellMar>
          <w:top w:w="57" w:type="dxa"/>
          <w:bottom w:w="57" w:type="dxa"/>
        </w:tblCellMar>
        <w:tblLook w:val="0620" w:firstRow="1" w:lastRow="0" w:firstColumn="0" w:lastColumn="0" w:noHBand="1" w:noVBand="1"/>
      </w:tblPr>
      <w:tblGrid>
        <w:gridCol w:w="2445"/>
        <w:gridCol w:w="7187"/>
      </w:tblGrid>
      <w:tr w:rsidR="009C7E84" w:rsidRPr="003666E1" w14:paraId="796FBC83" w14:textId="77777777" w:rsidTr="00DA0CB6">
        <w:trPr>
          <w:cnfStyle w:val="100000000000" w:firstRow="1" w:lastRow="0" w:firstColumn="0" w:lastColumn="0" w:oddVBand="0" w:evenVBand="0" w:oddHBand="0" w:evenHBand="0" w:firstRowFirstColumn="0" w:firstRowLastColumn="0" w:lastRowFirstColumn="0" w:lastRowLastColumn="0"/>
          <w:cantSplit/>
          <w:trHeight w:val="23"/>
          <w:tblHeader/>
        </w:trPr>
        <w:tc>
          <w:tcPr>
            <w:tcW w:w="1269" w:type="pct"/>
            <w:shd w:val="clear" w:color="auto" w:fill="FFFFFF" w:themeFill="background1"/>
          </w:tcPr>
          <w:p w14:paraId="3DFA9167" w14:textId="7DD4CA14" w:rsidR="009C7E84" w:rsidRPr="000C2084" w:rsidRDefault="009C7E84" w:rsidP="00DA0CB6">
            <w:pPr>
              <w:pStyle w:val="Rango1Tablas"/>
              <w:jc w:val="left"/>
              <w:rPr>
                <w:rStyle w:val="Referenciasutil"/>
                <w:rFonts w:asciiTheme="majorHAnsi" w:hAnsiTheme="majorHAnsi" w:cstheme="majorHAnsi"/>
                <w:bCs/>
                <w:color w:val="auto"/>
              </w:rPr>
            </w:pPr>
            <w:r w:rsidRPr="000C2084">
              <w:rPr>
                <w:rStyle w:val="Referenciasutil"/>
                <w:rFonts w:asciiTheme="majorHAnsi" w:hAnsiTheme="majorHAnsi" w:cstheme="majorHAnsi"/>
                <w:bCs/>
                <w:color w:val="auto"/>
              </w:rPr>
              <w:t>Nombre</w:t>
            </w:r>
          </w:p>
        </w:tc>
        <w:tc>
          <w:tcPr>
            <w:tcW w:w="3731" w:type="pct"/>
            <w:shd w:val="clear" w:color="auto" w:fill="FFFFFF" w:themeFill="background1"/>
          </w:tcPr>
          <w:p w14:paraId="50A8DE94" w14:textId="1E2E2375" w:rsidR="009C7E84" w:rsidRPr="000C2084" w:rsidRDefault="00B778E4" w:rsidP="00DA0CB6">
            <w:pPr>
              <w:pStyle w:val="Rango1Tablas"/>
              <w:jc w:val="left"/>
              <w:rPr>
                <w:rFonts w:asciiTheme="majorHAnsi" w:hAnsiTheme="majorHAnsi" w:cstheme="majorHAnsi"/>
                <w:bCs/>
                <w:color w:val="auto"/>
                <w:sz w:val="18"/>
                <w:szCs w:val="18"/>
                <w:lang w:val="en-US" w:eastAsia="en-US"/>
              </w:rPr>
            </w:pPr>
            <w:r w:rsidRPr="000C2084">
              <w:rPr>
                <w:rFonts w:asciiTheme="majorHAnsi" w:hAnsiTheme="majorHAnsi" w:cstheme="majorHAnsi"/>
                <w:bCs/>
                <w:color w:val="auto"/>
                <w:sz w:val="18"/>
                <w:szCs w:val="18"/>
                <w:lang w:val="en-US" w:eastAsia="en-US"/>
              </w:rPr>
              <w:t>I</w:t>
            </w:r>
            <w:r w:rsidRPr="000C2084">
              <w:rPr>
                <w:rFonts w:asciiTheme="majorHAnsi" w:hAnsiTheme="majorHAnsi" w:cstheme="majorHAnsi"/>
                <w:bCs/>
                <w:color w:val="auto"/>
                <w:sz w:val="18"/>
                <w:szCs w:val="18"/>
                <w:lang w:val="en-US"/>
              </w:rPr>
              <w:t xml:space="preserve">NTERKLIMA. </w:t>
            </w:r>
            <w:r w:rsidRPr="000C2084">
              <w:rPr>
                <w:rFonts w:asciiTheme="majorHAnsi" w:hAnsiTheme="majorHAnsi" w:cstheme="majorHAnsi"/>
                <w:b w:val="0"/>
                <w:color w:val="auto"/>
                <w:sz w:val="18"/>
                <w:szCs w:val="18"/>
                <w:lang w:val="en-US"/>
              </w:rPr>
              <w:t>International Fair of HVAC Technology, Drinking Water Treatment and Renewable Energy</w:t>
            </w:r>
          </w:p>
        </w:tc>
      </w:tr>
      <w:tr w:rsidR="009C7E84" w:rsidRPr="000C2084" w14:paraId="7261D415" w14:textId="77777777" w:rsidTr="00DA0CB6">
        <w:trPr>
          <w:cnfStyle w:val="100000000000" w:firstRow="1" w:lastRow="0" w:firstColumn="0" w:lastColumn="0" w:oddVBand="0" w:evenVBand="0" w:oddHBand="0" w:evenHBand="0" w:firstRowFirstColumn="0" w:firstRowLastColumn="0" w:lastRowFirstColumn="0" w:lastRowLastColumn="0"/>
          <w:cantSplit/>
          <w:trHeight w:val="109"/>
          <w:tblHeader/>
        </w:trPr>
        <w:tc>
          <w:tcPr>
            <w:tcW w:w="1269" w:type="pct"/>
          </w:tcPr>
          <w:p w14:paraId="4E9FEB3E" w14:textId="77777777" w:rsidR="009C7E84" w:rsidRPr="000C2084" w:rsidRDefault="009C7E84" w:rsidP="00DA0CB6">
            <w:pPr>
              <w:pStyle w:val="DatosTabla"/>
              <w:jc w:val="left"/>
              <w:rPr>
                <w:rStyle w:val="Referenciasutil"/>
                <w:rFonts w:cstheme="majorHAnsi"/>
                <w:b w:val="0"/>
              </w:rPr>
            </w:pPr>
            <w:r w:rsidRPr="000C2084">
              <w:rPr>
                <w:rFonts w:cstheme="majorHAnsi"/>
                <w:szCs w:val="18"/>
              </w:rPr>
              <w:t>Dirección</w:t>
            </w:r>
          </w:p>
        </w:tc>
        <w:tc>
          <w:tcPr>
            <w:tcW w:w="3731" w:type="pct"/>
          </w:tcPr>
          <w:p w14:paraId="00A7AF4E" w14:textId="5BEBEBF0" w:rsidR="00B778E4" w:rsidRPr="000C2084" w:rsidRDefault="00B778E4" w:rsidP="00DA0CB6">
            <w:pPr>
              <w:pStyle w:val="TextodeCuadrooGrfico"/>
              <w:jc w:val="left"/>
              <w:rPr>
                <w:rFonts w:asciiTheme="majorHAnsi" w:eastAsiaTheme="minorHAnsi" w:hAnsiTheme="majorHAnsi" w:cstheme="majorHAnsi"/>
                <w:bCs w:val="0"/>
                <w:color w:val="373737" w:themeColor="background2" w:themeShade="40"/>
                <w:sz w:val="18"/>
                <w:szCs w:val="18"/>
                <w:lang w:val="es-ES_tradnl" w:eastAsia="en-US"/>
              </w:rPr>
            </w:pPr>
            <w:proofErr w:type="spellStart"/>
            <w:r w:rsidRPr="000C2084">
              <w:rPr>
                <w:rFonts w:asciiTheme="majorHAnsi" w:eastAsiaTheme="minorHAnsi" w:hAnsiTheme="majorHAnsi" w:cstheme="majorHAnsi"/>
                <w:b w:val="0"/>
                <w:color w:val="373737" w:themeColor="background2" w:themeShade="40"/>
                <w:sz w:val="18"/>
                <w:szCs w:val="18"/>
                <w:lang w:val="es-ES_tradnl" w:eastAsia="en-US"/>
              </w:rPr>
              <w:t>Zagreba</w:t>
            </w:r>
            <w:r w:rsidR="00C97171" w:rsidRPr="000C2084">
              <w:rPr>
                <w:rFonts w:asciiTheme="majorHAnsi" w:eastAsiaTheme="minorHAnsi" w:hAnsiTheme="majorHAnsi" w:cstheme="majorHAnsi"/>
                <w:b w:val="0"/>
                <w:color w:val="373737" w:themeColor="background2" w:themeShade="40"/>
                <w:sz w:val="18"/>
                <w:szCs w:val="18"/>
                <w:lang w:val="es-ES_tradnl" w:eastAsia="en-US"/>
              </w:rPr>
              <w:t>č</w:t>
            </w:r>
            <w:r w:rsidRPr="000C2084">
              <w:rPr>
                <w:rFonts w:asciiTheme="majorHAnsi" w:eastAsiaTheme="minorHAnsi" w:hAnsiTheme="majorHAnsi" w:cstheme="majorHAnsi"/>
                <w:b w:val="0"/>
                <w:color w:val="373737" w:themeColor="background2" w:themeShade="40"/>
                <w:sz w:val="18"/>
                <w:szCs w:val="18"/>
                <w:lang w:val="es-ES_tradnl" w:eastAsia="en-US"/>
              </w:rPr>
              <w:t>ki</w:t>
            </w:r>
            <w:proofErr w:type="spellEnd"/>
            <w:r w:rsidRPr="000C2084">
              <w:rPr>
                <w:rFonts w:asciiTheme="majorHAnsi" w:eastAsiaTheme="minorHAnsi" w:hAnsiTheme="majorHAnsi" w:cstheme="majorHAnsi"/>
                <w:b w:val="0"/>
                <w:color w:val="373737" w:themeColor="background2" w:themeShade="40"/>
                <w:sz w:val="18"/>
                <w:szCs w:val="18"/>
                <w:lang w:val="es-ES_tradnl" w:eastAsia="en-US"/>
              </w:rPr>
              <w:t xml:space="preserve"> </w:t>
            </w:r>
            <w:proofErr w:type="spellStart"/>
            <w:r w:rsidRPr="000C2084">
              <w:rPr>
                <w:rFonts w:asciiTheme="majorHAnsi" w:eastAsiaTheme="minorHAnsi" w:hAnsiTheme="majorHAnsi" w:cstheme="majorHAnsi"/>
                <w:b w:val="0"/>
                <w:color w:val="373737" w:themeColor="background2" w:themeShade="40"/>
                <w:sz w:val="18"/>
                <w:szCs w:val="18"/>
                <w:lang w:val="es-ES_tradnl" w:eastAsia="en-US"/>
              </w:rPr>
              <w:t>Velesajam</w:t>
            </w:r>
            <w:proofErr w:type="spellEnd"/>
            <w:r w:rsidR="00C97171" w:rsidRPr="000C2084">
              <w:rPr>
                <w:rFonts w:asciiTheme="majorHAnsi" w:eastAsiaTheme="minorHAnsi" w:hAnsiTheme="majorHAnsi" w:cstheme="majorHAnsi"/>
                <w:b w:val="0"/>
                <w:color w:val="373737" w:themeColor="background2" w:themeShade="40"/>
                <w:sz w:val="18"/>
                <w:szCs w:val="18"/>
                <w:lang w:val="es-ES_tradnl" w:eastAsia="en-US"/>
              </w:rPr>
              <w:t>.</w:t>
            </w:r>
          </w:p>
          <w:p w14:paraId="3BFCE581" w14:textId="04C750A0" w:rsidR="00B778E4" w:rsidRPr="000C2084" w:rsidRDefault="00B778E4" w:rsidP="00DA0CB6">
            <w:pPr>
              <w:pStyle w:val="TextodeCuadrooGrfico"/>
              <w:jc w:val="left"/>
              <w:rPr>
                <w:rFonts w:asciiTheme="majorHAnsi" w:eastAsiaTheme="minorHAnsi" w:hAnsiTheme="majorHAnsi" w:cstheme="majorHAnsi"/>
                <w:bCs w:val="0"/>
                <w:color w:val="373737" w:themeColor="background2" w:themeShade="40"/>
                <w:sz w:val="18"/>
                <w:szCs w:val="18"/>
                <w:lang w:val="es-ES_tradnl" w:eastAsia="en-US"/>
              </w:rPr>
            </w:pPr>
            <w:proofErr w:type="spellStart"/>
            <w:r w:rsidRPr="000C2084">
              <w:rPr>
                <w:rFonts w:asciiTheme="majorHAnsi" w:eastAsiaTheme="minorHAnsi" w:hAnsiTheme="majorHAnsi" w:cstheme="majorHAnsi"/>
                <w:b w:val="0"/>
                <w:color w:val="373737" w:themeColor="background2" w:themeShade="40"/>
                <w:sz w:val="18"/>
                <w:szCs w:val="18"/>
                <w:lang w:val="es-ES_tradnl" w:eastAsia="en-US"/>
              </w:rPr>
              <w:t>Avenija</w:t>
            </w:r>
            <w:proofErr w:type="spellEnd"/>
            <w:r w:rsidRPr="000C2084">
              <w:rPr>
                <w:rFonts w:asciiTheme="majorHAnsi" w:eastAsiaTheme="minorHAnsi" w:hAnsiTheme="majorHAnsi" w:cstheme="majorHAnsi"/>
                <w:b w:val="0"/>
                <w:color w:val="373737" w:themeColor="background2" w:themeShade="40"/>
                <w:sz w:val="18"/>
                <w:szCs w:val="18"/>
                <w:lang w:val="es-ES_tradnl" w:eastAsia="en-US"/>
              </w:rPr>
              <w:t xml:space="preserve"> Dubrovnik 15</w:t>
            </w:r>
            <w:r w:rsidR="00C97171" w:rsidRPr="000C2084">
              <w:rPr>
                <w:rFonts w:asciiTheme="majorHAnsi" w:eastAsiaTheme="minorHAnsi" w:hAnsiTheme="majorHAnsi" w:cstheme="majorHAnsi"/>
                <w:b w:val="0"/>
                <w:color w:val="373737" w:themeColor="background2" w:themeShade="40"/>
                <w:sz w:val="18"/>
                <w:szCs w:val="18"/>
                <w:lang w:val="es-ES_tradnl" w:eastAsia="en-US"/>
              </w:rPr>
              <w:t>.</w:t>
            </w:r>
          </w:p>
          <w:p w14:paraId="51883B90" w14:textId="1D89446F" w:rsidR="009C7E84" w:rsidRPr="000C2084" w:rsidRDefault="00B778E4" w:rsidP="00DA0CB6">
            <w:pPr>
              <w:pStyle w:val="TextodeCuadrooGrfico"/>
              <w:jc w:val="left"/>
              <w:rPr>
                <w:rFonts w:asciiTheme="majorHAnsi" w:eastAsiaTheme="minorHAnsi" w:hAnsiTheme="majorHAnsi" w:cstheme="majorHAnsi"/>
                <w:b w:val="0"/>
                <w:color w:val="373737" w:themeColor="background2" w:themeShade="40"/>
                <w:sz w:val="18"/>
                <w:szCs w:val="18"/>
                <w:lang w:val="es-ES_tradnl" w:eastAsia="en-US"/>
              </w:rPr>
            </w:pPr>
            <w:r w:rsidRPr="000C2084">
              <w:rPr>
                <w:rFonts w:asciiTheme="majorHAnsi" w:eastAsiaTheme="minorHAnsi" w:hAnsiTheme="majorHAnsi" w:cstheme="majorHAnsi"/>
                <w:b w:val="0"/>
                <w:color w:val="373737" w:themeColor="background2" w:themeShade="40"/>
                <w:sz w:val="18"/>
                <w:szCs w:val="18"/>
                <w:lang w:val="es-ES_tradnl" w:eastAsia="en-US"/>
              </w:rPr>
              <w:t>10020</w:t>
            </w:r>
            <w:r w:rsidR="00C97171" w:rsidRPr="000C2084">
              <w:rPr>
                <w:rFonts w:asciiTheme="majorHAnsi" w:eastAsiaTheme="minorHAnsi" w:hAnsiTheme="majorHAnsi" w:cstheme="majorHAnsi"/>
                <w:b w:val="0"/>
                <w:color w:val="373737" w:themeColor="background2" w:themeShade="40"/>
                <w:sz w:val="18"/>
                <w:szCs w:val="18"/>
                <w:lang w:val="es-ES_tradnl" w:eastAsia="en-US"/>
              </w:rPr>
              <w:t>,</w:t>
            </w:r>
            <w:r w:rsidRPr="000C2084">
              <w:rPr>
                <w:rFonts w:asciiTheme="majorHAnsi" w:eastAsiaTheme="minorHAnsi" w:hAnsiTheme="majorHAnsi" w:cstheme="majorHAnsi"/>
                <w:b w:val="0"/>
                <w:color w:val="373737" w:themeColor="background2" w:themeShade="40"/>
                <w:sz w:val="18"/>
                <w:szCs w:val="18"/>
                <w:lang w:val="es-ES_tradnl" w:eastAsia="en-US"/>
              </w:rPr>
              <w:t xml:space="preserve"> Zagreb, Croatia</w:t>
            </w:r>
            <w:r w:rsidR="00442336" w:rsidRPr="000C2084">
              <w:rPr>
                <w:rFonts w:asciiTheme="majorHAnsi" w:eastAsiaTheme="minorHAnsi" w:hAnsiTheme="majorHAnsi" w:cstheme="majorHAnsi"/>
                <w:b w:val="0"/>
                <w:color w:val="373737" w:themeColor="background2" w:themeShade="40"/>
                <w:sz w:val="18"/>
                <w:szCs w:val="18"/>
                <w:lang w:val="es-ES_tradnl" w:eastAsia="en-US"/>
              </w:rPr>
              <w:t>.</w:t>
            </w:r>
          </w:p>
        </w:tc>
      </w:tr>
      <w:tr w:rsidR="009C7E84" w:rsidRPr="000C2084" w14:paraId="12F2FCB3" w14:textId="77777777" w:rsidTr="00DA0CB6">
        <w:trPr>
          <w:cnfStyle w:val="100000000000" w:firstRow="1" w:lastRow="0" w:firstColumn="0" w:lastColumn="0" w:oddVBand="0" w:evenVBand="0" w:oddHBand="0" w:evenHBand="0" w:firstRowFirstColumn="0" w:firstRowLastColumn="0" w:lastRowFirstColumn="0" w:lastRowLastColumn="0"/>
          <w:cantSplit/>
          <w:trHeight w:val="16"/>
          <w:tblHeader/>
        </w:trPr>
        <w:tc>
          <w:tcPr>
            <w:tcW w:w="1269" w:type="pct"/>
          </w:tcPr>
          <w:p w14:paraId="2E12227D" w14:textId="77777777" w:rsidR="009C7E84" w:rsidRPr="000C2084" w:rsidRDefault="009C7E84" w:rsidP="00DA0CB6">
            <w:pPr>
              <w:pStyle w:val="DatosTabla"/>
              <w:jc w:val="left"/>
              <w:rPr>
                <w:rStyle w:val="Referenciasutil"/>
                <w:rFonts w:cstheme="majorHAnsi"/>
                <w:b w:val="0"/>
              </w:rPr>
            </w:pPr>
            <w:r w:rsidRPr="000C2084">
              <w:rPr>
                <w:rFonts w:cstheme="majorHAnsi"/>
                <w:szCs w:val="18"/>
              </w:rPr>
              <w:t>Teléfono</w:t>
            </w:r>
          </w:p>
        </w:tc>
        <w:tc>
          <w:tcPr>
            <w:tcW w:w="3731" w:type="pct"/>
          </w:tcPr>
          <w:p w14:paraId="08C1EECE" w14:textId="7D89420D" w:rsidR="009C7E84" w:rsidRPr="000C2084" w:rsidRDefault="00B778E4" w:rsidP="00DA0CB6">
            <w:pPr>
              <w:pStyle w:val="DatosTabla"/>
              <w:jc w:val="left"/>
              <w:rPr>
                <w:rFonts w:cstheme="majorHAnsi"/>
                <w:b w:val="0"/>
                <w:bCs w:val="0"/>
                <w:szCs w:val="18"/>
                <w:lang w:val="es-ES"/>
              </w:rPr>
            </w:pPr>
            <w:r w:rsidRPr="000C2084">
              <w:rPr>
                <w:rFonts w:cstheme="majorHAnsi"/>
                <w:b w:val="0"/>
                <w:bCs w:val="0"/>
                <w:szCs w:val="18"/>
                <w:lang w:val="es-ES"/>
              </w:rPr>
              <w:t>+385 (0) 1/6503-111</w:t>
            </w:r>
          </w:p>
        </w:tc>
      </w:tr>
      <w:tr w:rsidR="009C7E84" w:rsidRPr="000C2084" w14:paraId="2E2655BC" w14:textId="77777777" w:rsidTr="00DA0CB6">
        <w:trPr>
          <w:cnfStyle w:val="100000000000" w:firstRow="1" w:lastRow="0" w:firstColumn="0" w:lastColumn="0" w:oddVBand="0" w:evenVBand="0" w:oddHBand="0" w:evenHBand="0" w:firstRowFirstColumn="0" w:firstRowLastColumn="0" w:lastRowFirstColumn="0" w:lastRowLastColumn="0"/>
          <w:cantSplit/>
          <w:trHeight w:val="17"/>
          <w:tblHeader/>
        </w:trPr>
        <w:tc>
          <w:tcPr>
            <w:tcW w:w="1269" w:type="pct"/>
          </w:tcPr>
          <w:p w14:paraId="0ED52AC8" w14:textId="77777777" w:rsidR="009C7E84" w:rsidRPr="000C2084" w:rsidRDefault="009C7E84" w:rsidP="00DA0CB6">
            <w:pPr>
              <w:pStyle w:val="DatosTabla"/>
              <w:jc w:val="left"/>
              <w:rPr>
                <w:rStyle w:val="Referenciasutil"/>
                <w:rFonts w:cstheme="majorHAnsi"/>
                <w:b w:val="0"/>
              </w:rPr>
            </w:pPr>
            <w:r w:rsidRPr="000C2084">
              <w:rPr>
                <w:rFonts w:cstheme="majorHAnsi"/>
                <w:szCs w:val="18"/>
              </w:rPr>
              <w:t>Idioma contacto</w:t>
            </w:r>
          </w:p>
        </w:tc>
        <w:tc>
          <w:tcPr>
            <w:tcW w:w="3731" w:type="pct"/>
          </w:tcPr>
          <w:p w14:paraId="22D706A3" w14:textId="75E4F65A" w:rsidR="009C7E84" w:rsidRPr="000C2084" w:rsidRDefault="00B778E4" w:rsidP="00DA0CB6">
            <w:pPr>
              <w:pStyle w:val="DatosTabla"/>
              <w:jc w:val="left"/>
              <w:rPr>
                <w:rFonts w:cstheme="majorHAnsi"/>
                <w:b w:val="0"/>
                <w:bCs w:val="0"/>
                <w:szCs w:val="18"/>
                <w:lang w:val="es-ES"/>
              </w:rPr>
            </w:pPr>
            <w:r w:rsidRPr="000C2084">
              <w:rPr>
                <w:rFonts w:cstheme="majorHAnsi"/>
                <w:b w:val="0"/>
                <w:bCs w:val="0"/>
                <w:szCs w:val="18"/>
                <w:lang w:val="es-ES"/>
              </w:rPr>
              <w:t>Inglés</w:t>
            </w:r>
          </w:p>
        </w:tc>
      </w:tr>
      <w:tr w:rsidR="009C7E84" w:rsidRPr="000C2084" w14:paraId="084F801F" w14:textId="77777777" w:rsidTr="00DA0CB6">
        <w:trPr>
          <w:cnfStyle w:val="100000000000" w:firstRow="1" w:lastRow="0" w:firstColumn="0" w:lastColumn="0" w:oddVBand="0" w:evenVBand="0" w:oddHBand="0" w:evenHBand="0" w:firstRowFirstColumn="0" w:firstRowLastColumn="0" w:lastRowFirstColumn="0" w:lastRowLastColumn="0"/>
          <w:cantSplit/>
          <w:trHeight w:val="17"/>
          <w:tblHeader/>
        </w:trPr>
        <w:tc>
          <w:tcPr>
            <w:tcW w:w="1269" w:type="pct"/>
          </w:tcPr>
          <w:p w14:paraId="0FB3E1D2" w14:textId="77777777" w:rsidR="009C7E84" w:rsidRPr="000C2084" w:rsidRDefault="009C7E84" w:rsidP="00DA0CB6">
            <w:pPr>
              <w:pStyle w:val="DatosTabla"/>
              <w:jc w:val="left"/>
              <w:rPr>
                <w:rStyle w:val="Referenciasutil"/>
                <w:rFonts w:cstheme="majorHAnsi"/>
                <w:b w:val="0"/>
              </w:rPr>
            </w:pPr>
            <w:r w:rsidRPr="000C2084">
              <w:rPr>
                <w:rFonts w:cstheme="majorHAnsi"/>
                <w:szCs w:val="18"/>
              </w:rPr>
              <w:t>WEB</w:t>
            </w:r>
          </w:p>
        </w:tc>
        <w:tc>
          <w:tcPr>
            <w:tcW w:w="3731" w:type="pct"/>
          </w:tcPr>
          <w:p w14:paraId="02EAE493" w14:textId="5C21914B" w:rsidR="009C7E84" w:rsidRPr="000C2084" w:rsidRDefault="003666E1" w:rsidP="00DA0CB6">
            <w:pPr>
              <w:pStyle w:val="DatosTabla"/>
              <w:jc w:val="left"/>
              <w:rPr>
                <w:rStyle w:val="Referenciasutil"/>
                <w:rFonts w:cstheme="majorHAnsi"/>
                <w:b w:val="0"/>
                <w:bCs w:val="0"/>
              </w:rPr>
            </w:pPr>
            <w:hyperlink r:id="rId32" w:history="1">
              <w:r w:rsidR="006A2876" w:rsidRPr="000C2084">
                <w:rPr>
                  <w:rStyle w:val="Hipervnculo"/>
                  <w:rFonts w:cstheme="majorHAnsi"/>
                  <w:b w:val="0"/>
                  <w:bCs w:val="0"/>
                  <w:sz w:val="18"/>
                  <w:szCs w:val="18"/>
                </w:rPr>
                <w:t>www.zv.hr/fairs-2863/interklima-3067/visitors-3068/about-fair-3069/3069</w:t>
              </w:r>
            </w:hyperlink>
            <w:r w:rsidR="006A2876" w:rsidRPr="000C2084">
              <w:rPr>
                <w:rStyle w:val="Referenciasutil"/>
                <w:rFonts w:cstheme="majorHAnsi"/>
                <w:b w:val="0"/>
                <w:bCs w:val="0"/>
              </w:rPr>
              <w:t xml:space="preserve"> </w:t>
            </w:r>
          </w:p>
        </w:tc>
      </w:tr>
      <w:tr w:rsidR="00B91787" w:rsidRPr="000C2084" w14:paraId="3AA27D16" w14:textId="77777777" w:rsidTr="00DA0CB6">
        <w:trPr>
          <w:cnfStyle w:val="100000000000" w:firstRow="1" w:lastRow="0" w:firstColumn="0" w:lastColumn="0" w:oddVBand="0" w:evenVBand="0" w:oddHBand="0" w:evenHBand="0" w:firstRowFirstColumn="0" w:firstRowLastColumn="0" w:lastRowFirstColumn="0" w:lastRowLastColumn="0"/>
          <w:cantSplit/>
          <w:trHeight w:val="17"/>
          <w:tblHeader/>
        </w:trPr>
        <w:tc>
          <w:tcPr>
            <w:tcW w:w="1269" w:type="pct"/>
          </w:tcPr>
          <w:p w14:paraId="108ADCBE" w14:textId="2E2199DF" w:rsidR="00B91787" w:rsidRPr="000C2084" w:rsidRDefault="00B91787" w:rsidP="00DA0CB6">
            <w:pPr>
              <w:pStyle w:val="DatosTabla"/>
              <w:jc w:val="left"/>
              <w:rPr>
                <w:rFonts w:cstheme="majorHAnsi"/>
                <w:szCs w:val="18"/>
              </w:rPr>
            </w:pPr>
            <w:r w:rsidRPr="000C2084">
              <w:rPr>
                <w:rFonts w:cstheme="majorHAnsi"/>
                <w:szCs w:val="18"/>
              </w:rPr>
              <w:t>Próxima edición</w:t>
            </w:r>
          </w:p>
        </w:tc>
        <w:tc>
          <w:tcPr>
            <w:tcW w:w="3731" w:type="pct"/>
          </w:tcPr>
          <w:p w14:paraId="3A4315A7" w14:textId="06984FCD" w:rsidR="00B91787" w:rsidRPr="000C2084" w:rsidRDefault="00B91787" w:rsidP="00DA0CB6">
            <w:pPr>
              <w:pStyle w:val="DatosTabla"/>
              <w:jc w:val="left"/>
              <w:rPr>
                <w:b w:val="0"/>
                <w:bCs w:val="0"/>
                <w:szCs w:val="18"/>
              </w:rPr>
            </w:pPr>
            <w:r w:rsidRPr="000C2084">
              <w:rPr>
                <w:b w:val="0"/>
                <w:bCs w:val="0"/>
                <w:szCs w:val="18"/>
              </w:rPr>
              <w:t>--</w:t>
            </w:r>
          </w:p>
        </w:tc>
      </w:tr>
      <w:tr w:rsidR="009C7E84" w:rsidRPr="000C2084" w14:paraId="13BF8B06" w14:textId="77777777" w:rsidTr="00DA0CB6">
        <w:trPr>
          <w:cnfStyle w:val="100000000000" w:firstRow="1" w:lastRow="0" w:firstColumn="0" w:lastColumn="0" w:oddVBand="0" w:evenVBand="0" w:oddHBand="0" w:evenHBand="0" w:firstRowFirstColumn="0" w:firstRowLastColumn="0" w:lastRowFirstColumn="0" w:lastRowLastColumn="0"/>
          <w:cantSplit/>
          <w:trHeight w:val="79"/>
          <w:tblHeader/>
        </w:trPr>
        <w:tc>
          <w:tcPr>
            <w:tcW w:w="1269" w:type="pct"/>
          </w:tcPr>
          <w:p w14:paraId="6748BAD0" w14:textId="77777777" w:rsidR="009C7E84" w:rsidRPr="000C2084" w:rsidRDefault="009C7E84" w:rsidP="00DA0CB6">
            <w:pPr>
              <w:pStyle w:val="DatosTabla"/>
              <w:jc w:val="left"/>
              <w:rPr>
                <w:rStyle w:val="Referenciasutil"/>
                <w:rFonts w:cstheme="majorHAnsi"/>
                <w:b w:val="0"/>
              </w:rPr>
            </w:pPr>
            <w:r w:rsidRPr="000C2084">
              <w:rPr>
                <w:rStyle w:val="Referenciasutil"/>
                <w:rFonts w:cstheme="majorHAnsi"/>
              </w:rPr>
              <w:t>Descripción del evento</w:t>
            </w:r>
          </w:p>
        </w:tc>
        <w:tc>
          <w:tcPr>
            <w:tcW w:w="3731" w:type="pct"/>
          </w:tcPr>
          <w:p w14:paraId="6C33A14A" w14:textId="552FCF4D" w:rsidR="009C7E84" w:rsidRPr="000C2084" w:rsidRDefault="00C97171" w:rsidP="00DA0CB6">
            <w:pPr>
              <w:pStyle w:val="DatosTabla"/>
              <w:jc w:val="left"/>
              <w:rPr>
                <w:rStyle w:val="Referenciasutil"/>
                <w:rFonts w:cstheme="majorHAnsi"/>
                <w:b w:val="0"/>
              </w:rPr>
            </w:pPr>
            <w:r w:rsidRPr="000C2084">
              <w:rPr>
                <w:rFonts w:cstheme="majorHAnsi"/>
                <w:b w:val="0"/>
                <w:bCs w:val="0"/>
                <w:szCs w:val="18"/>
              </w:rPr>
              <w:t>Evento</w:t>
            </w:r>
            <w:r w:rsidR="00B778E4" w:rsidRPr="000C2084">
              <w:rPr>
                <w:rFonts w:cstheme="majorHAnsi"/>
                <w:b w:val="0"/>
                <w:bCs w:val="0"/>
                <w:szCs w:val="18"/>
              </w:rPr>
              <w:t xml:space="preserve"> bienal </w:t>
            </w:r>
            <w:r w:rsidRPr="000C2084">
              <w:rPr>
                <w:rFonts w:cstheme="majorHAnsi"/>
                <w:b w:val="0"/>
                <w:bCs w:val="0"/>
                <w:szCs w:val="18"/>
              </w:rPr>
              <w:t>sobre calefacción, refrigeración, aire acondicionado y tratamiento de agua potable.</w:t>
            </w:r>
          </w:p>
        </w:tc>
      </w:tr>
    </w:tbl>
    <w:p w14:paraId="354716FE" w14:textId="4FF273CD" w:rsidR="00B778E4" w:rsidRPr="000C2084" w:rsidRDefault="00B778E4" w:rsidP="00946B8B">
      <w:pPr>
        <w:ind w:left="284" w:hanging="284"/>
        <w:rPr>
          <w:b/>
          <w:sz w:val="18"/>
          <w:szCs w:val="18"/>
        </w:rPr>
      </w:pPr>
    </w:p>
    <w:p w14:paraId="23516A66" w14:textId="77777777" w:rsidR="00946B8B" w:rsidRPr="000C2084" w:rsidRDefault="00946B8B" w:rsidP="00946B8B">
      <w:pPr>
        <w:ind w:left="284" w:hanging="284"/>
        <w:rPr>
          <w:b/>
          <w:sz w:val="18"/>
          <w:szCs w:val="18"/>
        </w:rPr>
      </w:pPr>
    </w:p>
    <w:tbl>
      <w:tblPr>
        <w:tblStyle w:val="Tabladelista2-nfasis11"/>
        <w:tblW w:w="5000" w:type="pct"/>
        <w:tblBorders>
          <w:top w:val="single" w:sz="4" w:space="0" w:color="5E5E5E" w:themeColor="text2"/>
          <w:bottom w:val="single" w:sz="4" w:space="0" w:color="5E5E5E" w:themeColor="text2"/>
          <w:insideH w:val="single" w:sz="4" w:space="0" w:color="5E5E5E" w:themeColor="text2"/>
        </w:tblBorders>
        <w:tblCellMar>
          <w:top w:w="57" w:type="dxa"/>
          <w:bottom w:w="57" w:type="dxa"/>
        </w:tblCellMar>
        <w:tblLook w:val="0620" w:firstRow="1" w:lastRow="0" w:firstColumn="0" w:lastColumn="0" w:noHBand="1" w:noVBand="1"/>
      </w:tblPr>
      <w:tblGrid>
        <w:gridCol w:w="2420"/>
        <w:gridCol w:w="7212"/>
      </w:tblGrid>
      <w:tr w:rsidR="00B74E6F" w:rsidRPr="003666E1" w14:paraId="31EE7A20" w14:textId="77777777" w:rsidTr="00DA0CB6">
        <w:trPr>
          <w:cnfStyle w:val="100000000000" w:firstRow="1" w:lastRow="0" w:firstColumn="0" w:lastColumn="0" w:oddVBand="0" w:evenVBand="0" w:oddHBand="0" w:evenHBand="0" w:firstRowFirstColumn="0" w:firstRowLastColumn="0" w:lastRowFirstColumn="0" w:lastRowLastColumn="0"/>
          <w:cantSplit/>
          <w:trHeight w:val="13"/>
          <w:tblHeader/>
        </w:trPr>
        <w:tc>
          <w:tcPr>
            <w:tcW w:w="1256" w:type="pct"/>
            <w:shd w:val="clear" w:color="auto" w:fill="FFFFFF" w:themeFill="background1"/>
          </w:tcPr>
          <w:p w14:paraId="2DBFC032" w14:textId="21919E00" w:rsidR="007B5503" w:rsidRPr="000C2084" w:rsidRDefault="007B5503" w:rsidP="00DA0CB6">
            <w:pPr>
              <w:pStyle w:val="Rango1Tablas"/>
              <w:jc w:val="left"/>
              <w:rPr>
                <w:rStyle w:val="Referenciasutil"/>
                <w:rFonts w:asciiTheme="majorHAnsi" w:hAnsiTheme="majorHAnsi" w:cstheme="majorHAnsi"/>
                <w:bCs/>
                <w:color w:val="auto"/>
              </w:rPr>
            </w:pPr>
            <w:r w:rsidRPr="000C2084">
              <w:rPr>
                <w:rStyle w:val="Referenciasutil"/>
                <w:rFonts w:asciiTheme="majorHAnsi" w:hAnsiTheme="majorHAnsi" w:cstheme="majorHAnsi"/>
                <w:bCs/>
                <w:color w:val="auto"/>
              </w:rPr>
              <w:t>Nombre</w:t>
            </w:r>
          </w:p>
        </w:tc>
        <w:tc>
          <w:tcPr>
            <w:tcW w:w="3744" w:type="pct"/>
            <w:shd w:val="clear" w:color="auto" w:fill="FFFFFF" w:themeFill="background1"/>
          </w:tcPr>
          <w:p w14:paraId="303D1229" w14:textId="0FB52286" w:rsidR="007B5503" w:rsidRPr="000C2084" w:rsidRDefault="00811562" w:rsidP="00DA0CB6">
            <w:pPr>
              <w:pStyle w:val="Rango1Tablas"/>
              <w:jc w:val="left"/>
              <w:rPr>
                <w:rFonts w:asciiTheme="majorHAnsi" w:hAnsiTheme="majorHAnsi" w:cstheme="majorHAnsi"/>
                <w:bCs/>
                <w:color w:val="auto"/>
                <w:sz w:val="18"/>
                <w:szCs w:val="18"/>
                <w:lang w:val="en-US" w:eastAsia="en-US"/>
              </w:rPr>
            </w:pPr>
            <w:r w:rsidRPr="000C2084">
              <w:rPr>
                <w:rFonts w:asciiTheme="majorHAnsi" w:hAnsiTheme="majorHAnsi" w:cstheme="majorHAnsi"/>
                <w:bCs/>
                <w:color w:val="auto"/>
                <w:sz w:val="18"/>
                <w:szCs w:val="18"/>
                <w:lang w:val="en-US" w:eastAsia="en-US"/>
              </w:rPr>
              <w:t>C</w:t>
            </w:r>
            <w:r w:rsidR="007B5503" w:rsidRPr="000C2084">
              <w:rPr>
                <w:bCs/>
                <w:color w:val="auto"/>
                <w:sz w:val="18"/>
                <w:szCs w:val="18"/>
                <w:lang w:val="en-US"/>
              </w:rPr>
              <w:t xml:space="preserve">urrent </w:t>
            </w:r>
            <w:r w:rsidRPr="000C2084">
              <w:rPr>
                <w:bCs/>
                <w:color w:val="auto"/>
                <w:sz w:val="18"/>
                <w:szCs w:val="18"/>
                <w:lang w:val="en-US"/>
              </w:rPr>
              <w:t>I</w:t>
            </w:r>
            <w:r w:rsidR="007B5503" w:rsidRPr="000C2084">
              <w:rPr>
                <w:bCs/>
                <w:color w:val="auto"/>
                <w:sz w:val="18"/>
                <w:szCs w:val="18"/>
                <w:lang w:val="en-US"/>
              </w:rPr>
              <w:t xml:space="preserve">ssues in </w:t>
            </w:r>
            <w:r w:rsidRPr="000C2084">
              <w:rPr>
                <w:bCs/>
                <w:color w:val="auto"/>
                <w:sz w:val="18"/>
                <w:szCs w:val="18"/>
                <w:lang w:val="en-US"/>
              </w:rPr>
              <w:t>W</w:t>
            </w:r>
            <w:r w:rsidR="007B5503" w:rsidRPr="000C2084">
              <w:rPr>
                <w:bCs/>
                <w:color w:val="auto"/>
                <w:sz w:val="18"/>
                <w:szCs w:val="18"/>
                <w:lang w:val="en-US"/>
              </w:rPr>
              <w:t xml:space="preserve">ater </w:t>
            </w:r>
            <w:r w:rsidRPr="000C2084">
              <w:rPr>
                <w:bCs/>
                <w:color w:val="auto"/>
                <w:sz w:val="18"/>
                <w:szCs w:val="18"/>
                <w:lang w:val="en-US"/>
              </w:rPr>
              <w:t>S</w:t>
            </w:r>
            <w:r w:rsidR="007B5503" w:rsidRPr="000C2084">
              <w:rPr>
                <w:bCs/>
                <w:color w:val="auto"/>
                <w:sz w:val="18"/>
                <w:szCs w:val="18"/>
                <w:lang w:val="en-US"/>
              </w:rPr>
              <w:t xml:space="preserve">upply and </w:t>
            </w:r>
            <w:r w:rsidRPr="000C2084">
              <w:rPr>
                <w:bCs/>
                <w:color w:val="auto"/>
                <w:sz w:val="18"/>
                <w:szCs w:val="18"/>
                <w:lang w:val="en-US"/>
              </w:rPr>
              <w:t>S</w:t>
            </w:r>
            <w:r w:rsidR="007B5503" w:rsidRPr="000C2084">
              <w:rPr>
                <w:bCs/>
                <w:color w:val="auto"/>
                <w:sz w:val="18"/>
                <w:szCs w:val="18"/>
                <w:lang w:val="en-US"/>
              </w:rPr>
              <w:t>ewage</w:t>
            </w:r>
          </w:p>
        </w:tc>
      </w:tr>
      <w:tr w:rsidR="00B74E6F" w:rsidRPr="000C2084" w14:paraId="497DA44C" w14:textId="77777777" w:rsidTr="00DA0CB6">
        <w:trPr>
          <w:cnfStyle w:val="100000000000" w:firstRow="1" w:lastRow="0" w:firstColumn="0" w:lastColumn="0" w:oddVBand="0" w:evenVBand="0" w:oddHBand="0" w:evenHBand="0" w:firstRowFirstColumn="0" w:firstRowLastColumn="0" w:lastRowFirstColumn="0" w:lastRowLastColumn="0"/>
          <w:cantSplit/>
          <w:trHeight w:val="72"/>
          <w:tblHeader/>
        </w:trPr>
        <w:tc>
          <w:tcPr>
            <w:tcW w:w="1256" w:type="pct"/>
          </w:tcPr>
          <w:p w14:paraId="24CFDF30" w14:textId="77777777" w:rsidR="007B5503" w:rsidRPr="000C2084" w:rsidRDefault="007B5503" w:rsidP="00DA0CB6">
            <w:pPr>
              <w:pStyle w:val="DatosTabla"/>
              <w:jc w:val="left"/>
              <w:rPr>
                <w:rStyle w:val="Referenciasutil"/>
                <w:rFonts w:cstheme="majorHAnsi"/>
                <w:b w:val="0"/>
              </w:rPr>
            </w:pPr>
            <w:r w:rsidRPr="000C2084">
              <w:rPr>
                <w:rFonts w:cstheme="majorHAnsi"/>
                <w:szCs w:val="18"/>
              </w:rPr>
              <w:t>Dirección</w:t>
            </w:r>
          </w:p>
        </w:tc>
        <w:tc>
          <w:tcPr>
            <w:tcW w:w="3744" w:type="pct"/>
          </w:tcPr>
          <w:p w14:paraId="55B20BCE" w14:textId="3CF68072" w:rsidR="007B5503" w:rsidRPr="000C2084" w:rsidRDefault="0034687C" w:rsidP="00DA0CB6">
            <w:pPr>
              <w:pStyle w:val="TextodeCuadrooGrfico"/>
              <w:jc w:val="left"/>
              <w:rPr>
                <w:rFonts w:asciiTheme="majorHAnsi" w:eastAsiaTheme="minorHAnsi" w:hAnsiTheme="majorHAnsi" w:cstheme="majorHAnsi"/>
                <w:bCs w:val="0"/>
                <w:color w:val="373737" w:themeColor="background2" w:themeShade="40"/>
                <w:sz w:val="18"/>
                <w:szCs w:val="18"/>
                <w:lang w:val="en-US" w:eastAsia="en-US"/>
              </w:rPr>
            </w:pPr>
            <w:proofErr w:type="spellStart"/>
            <w:r w:rsidRPr="000C2084">
              <w:rPr>
                <w:rFonts w:asciiTheme="majorHAnsi" w:eastAsiaTheme="minorHAnsi" w:hAnsiTheme="majorHAnsi" w:cstheme="majorHAnsi"/>
                <w:b w:val="0"/>
                <w:color w:val="373737" w:themeColor="background2" w:themeShade="40"/>
                <w:sz w:val="18"/>
                <w:szCs w:val="18"/>
                <w:lang w:val="en-US" w:eastAsia="en-US"/>
              </w:rPr>
              <w:t>Bluesun</w:t>
            </w:r>
            <w:proofErr w:type="spellEnd"/>
            <w:r w:rsidRPr="000C2084">
              <w:rPr>
                <w:rFonts w:asciiTheme="majorHAnsi" w:eastAsiaTheme="minorHAnsi" w:hAnsiTheme="majorHAnsi" w:cstheme="majorHAnsi"/>
                <w:b w:val="0"/>
                <w:color w:val="373737" w:themeColor="background2" w:themeShade="40"/>
                <w:sz w:val="18"/>
                <w:szCs w:val="18"/>
                <w:lang w:val="en-US" w:eastAsia="en-US"/>
              </w:rPr>
              <w:t xml:space="preserve"> Hotel </w:t>
            </w:r>
            <w:proofErr w:type="spellStart"/>
            <w:r w:rsidRPr="000C2084">
              <w:rPr>
                <w:rFonts w:asciiTheme="majorHAnsi" w:eastAsiaTheme="minorHAnsi" w:hAnsiTheme="majorHAnsi" w:cstheme="majorHAnsi"/>
                <w:b w:val="0"/>
                <w:color w:val="373737" w:themeColor="background2" w:themeShade="40"/>
                <w:sz w:val="18"/>
                <w:szCs w:val="18"/>
                <w:lang w:val="en-US" w:eastAsia="en-US"/>
              </w:rPr>
              <w:t>Elaphusa</w:t>
            </w:r>
            <w:proofErr w:type="spellEnd"/>
            <w:r w:rsidR="002D20D0" w:rsidRPr="000C2084">
              <w:rPr>
                <w:rFonts w:asciiTheme="majorHAnsi" w:eastAsiaTheme="minorHAnsi" w:hAnsiTheme="majorHAnsi" w:cstheme="majorHAnsi"/>
                <w:b w:val="0"/>
                <w:color w:val="373737" w:themeColor="background2" w:themeShade="40"/>
                <w:sz w:val="18"/>
                <w:szCs w:val="18"/>
                <w:lang w:val="en-US" w:eastAsia="en-US"/>
              </w:rPr>
              <w:t>.</w:t>
            </w:r>
          </w:p>
          <w:p w14:paraId="2A7BAFBC" w14:textId="424E828F" w:rsidR="007B5503" w:rsidRPr="000C2084" w:rsidRDefault="0034687C" w:rsidP="00DA0CB6">
            <w:pPr>
              <w:pStyle w:val="TextodeCuadrooGrfico"/>
              <w:jc w:val="left"/>
              <w:rPr>
                <w:rFonts w:asciiTheme="majorHAnsi" w:eastAsiaTheme="minorHAnsi" w:hAnsiTheme="majorHAnsi" w:cstheme="majorHAnsi"/>
                <w:bCs w:val="0"/>
                <w:color w:val="373737" w:themeColor="background2" w:themeShade="40"/>
                <w:sz w:val="18"/>
                <w:szCs w:val="18"/>
                <w:lang w:val="en-US" w:eastAsia="en-US"/>
              </w:rPr>
            </w:pPr>
            <w:r w:rsidRPr="000C2084">
              <w:rPr>
                <w:rFonts w:asciiTheme="majorHAnsi" w:eastAsiaTheme="minorHAnsi" w:hAnsiTheme="majorHAnsi" w:cstheme="majorHAnsi"/>
                <w:b w:val="0"/>
                <w:color w:val="373737" w:themeColor="background2" w:themeShade="40"/>
                <w:sz w:val="18"/>
                <w:szCs w:val="18"/>
                <w:lang w:val="en-US" w:eastAsia="en-US"/>
              </w:rPr>
              <w:t xml:space="preserve">Put </w:t>
            </w:r>
            <w:proofErr w:type="spellStart"/>
            <w:r w:rsidRPr="000C2084">
              <w:rPr>
                <w:rFonts w:asciiTheme="majorHAnsi" w:eastAsiaTheme="minorHAnsi" w:hAnsiTheme="majorHAnsi" w:cstheme="majorHAnsi"/>
                <w:b w:val="0"/>
                <w:color w:val="373737" w:themeColor="background2" w:themeShade="40"/>
                <w:sz w:val="18"/>
                <w:szCs w:val="18"/>
                <w:lang w:val="en-US" w:eastAsia="en-US"/>
              </w:rPr>
              <w:t>Zlatnog</w:t>
            </w:r>
            <w:proofErr w:type="spellEnd"/>
            <w:r w:rsidRPr="000C2084">
              <w:rPr>
                <w:rFonts w:asciiTheme="majorHAnsi" w:eastAsiaTheme="minorHAnsi" w:hAnsiTheme="majorHAnsi" w:cstheme="majorHAnsi"/>
                <w:b w:val="0"/>
                <w:color w:val="373737" w:themeColor="background2" w:themeShade="40"/>
                <w:sz w:val="18"/>
                <w:szCs w:val="18"/>
                <w:lang w:val="en-US" w:eastAsia="en-US"/>
              </w:rPr>
              <w:t xml:space="preserve"> Rata 46.</w:t>
            </w:r>
          </w:p>
          <w:p w14:paraId="3EAC171B" w14:textId="72087235" w:rsidR="007B5503" w:rsidRPr="000C2084" w:rsidRDefault="007B5503" w:rsidP="00DA0CB6">
            <w:pPr>
              <w:pStyle w:val="TextodeCuadrooGrfico"/>
              <w:jc w:val="left"/>
              <w:rPr>
                <w:rFonts w:asciiTheme="majorHAnsi" w:eastAsiaTheme="minorHAnsi" w:hAnsiTheme="majorHAnsi" w:cstheme="majorHAnsi"/>
                <w:bCs w:val="0"/>
                <w:color w:val="373737" w:themeColor="background2" w:themeShade="40"/>
                <w:sz w:val="18"/>
                <w:szCs w:val="18"/>
                <w:lang w:eastAsia="en-US"/>
              </w:rPr>
            </w:pPr>
            <w:r w:rsidRPr="000C2084">
              <w:rPr>
                <w:rFonts w:asciiTheme="majorHAnsi" w:eastAsiaTheme="minorHAnsi" w:hAnsiTheme="majorHAnsi" w:cstheme="majorHAnsi"/>
                <w:b w:val="0"/>
                <w:color w:val="373737" w:themeColor="background2" w:themeShade="40"/>
                <w:sz w:val="18"/>
                <w:szCs w:val="18"/>
                <w:lang w:eastAsia="en-US"/>
              </w:rPr>
              <w:t>2</w:t>
            </w:r>
            <w:r w:rsidR="0034687C" w:rsidRPr="000C2084">
              <w:rPr>
                <w:rFonts w:asciiTheme="majorHAnsi" w:eastAsiaTheme="minorHAnsi" w:hAnsiTheme="majorHAnsi" w:cstheme="majorHAnsi"/>
                <w:b w:val="0"/>
                <w:color w:val="373737" w:themeColor="background2" w:themeShade="40"/>
                <w:sz w:val="18"/>
                <w:szCs w:val="18"/>
                <w:lang w:eastAsia="en-US"/>
              </w:rPr>
              <w:t>1420</w:t>
            </w:r>
            <w:r w:rsidRPr="000C2084">
              <w:rPr>
                <w:rFonts w:asciiTheme="majorHAnsi" w:eastAsiaTheme="minorHAnsi" w:hAnsiTheme="majorHAnsi" w:cstheme="majorHAnsi"/>
                <w:b w:val="0"/>
                <w:color w:val="373737" w:themeColor="background2" w:themeShade="40"/>
                <w:sz w:val="18"/>
                <w:szCs w:val="18"/>
                <w:lang w:eastAsia="en-US"/>
              </w:rPr>
              <w:t>,</w:t>
            </w:r>
            <w:r w:rsidR="0034687C" w:rsidRPr="000C2084">
              <w:rPr>
                <w:rFonts w:asciiTheme="majorHAnsi" w:eastAsiaTheme="minorHAnsi" w:hAnsiTheme="majorHAnsi" w:cstheme="majorHAnsi"/>
                <w:b w:val="0"/>
                <w:color w:val="373737" w:themeColor="background2" w:themeShade="40"/>
                <w:sz w:val="18"/>
                <w:szCs w:val="18"/>
                <w:lang w:eastAsia="en-US"/>
              </w:rPr>
              <w:t xml:space="preserve"> Bol,</w:t>
            </w:r>
            <w:r w:rsidRPr="000C2084">
              <w:rPr>
                <w:rFonts w:asciiTheme="majorHAnsi" w:eastAsiaTheme="minorHAnsi" w:hAnsiTheme="majorHAnsi" w:cstheme="majorHAnsi"/>
                <w:b w:val="0"/>
                <w:color w:val="373737" w:themeColor="background2" w:themeShade="40"/>
                <w:sz w:val="18"/>
                <w:szCs w:val="18"/>
                <w:lang w:eastAsia="en-US"/>
              </w:rPr>
              <w:t xml:space="preserve"> Croatia</w:t>
            </w:r>
          </w:p>
          <w:p w14:paraId="6611873A" w14:textId="0A453EDC" w:rsidR="0034687C" w:rsidRPr="000C2084" w:rsidRDefault="0034687C" w:rsidP="00DA0CB6">
            <w:pPr>
              <w:pStyle w:val="TextodeCuadrooGrfico"/>
              <w:jc w:val="left"/>
              <w:rPr>
                <w:rFonts w:asciiTheme="majorHAnsi" w:eastAsiaTheme="minorHAnsi" w:hAnsiTheme="majorHAnsi" w:cstheme="majorHAnsi"/>
                <w:b w:val="0"/>
                <w:color w:val="373737" w:themeColor="background2" w:themeShade="40"/>
                <w:sz w:val="18"/>
                <w:szCs w:val="18"/>
                <w:lang w:val="es-ES_tradnl" w:eastAsia="en-US"/>
              </w:rPr>
            </w:pPr>
            <w:r w:rsidRPr="000C2084">
              <w:rPr>
                <w:rFonts w:asciiTheme="majorHAnsi" w:eastAsiaTheme="minorHAnsi" w:hAnsiTheme="majorHAnsi" w:cstheme="majorHAnsi"/>
                <w:b w:val="0"/>
                <w:color w:val="373737" w:themeColor="background2" w:themeShade="40"/>
                <w:sz w:val="18"/>
                <w:szCs w:val="18"/>
                <w:lang w:val="es-ES_tradnl" w:eastAsia="en-US"/>
              </w:rPr>
              <w:t>(la ubicación puede sufrir cambios)</w:t>
            </w:r>
            <w:r w:rsidR="00442336" w:rsidRPr="000C2084">
              <w:rPr>
                <w:rFonts w:asciiTheme="majorHAnsi" w:eastAsiaTheme="minorHAnsi" w:hAnsiTheme="majorHAnsi" w:cstheme="majorHAnsi"/>
                <w:b w:val="0"/>
                <w:color w:val="373737" w:themeColor="background2" w:themeShade="40"/>
                <w:sz w:val="18"/>
                <w:szCs w:val="18"/>
                <w:lang w:val="es-ES_tradnl" w:eastAsia="en-US"/>
              </w:rPr>
              <w:t>.</w:t>
            </w:r>
          </w:p>
        </w:tc>
      </w:tr>
      <w:tr w:rsidR="00B74E6F" w:rsidRPr="000C2084" w14:paraId="43CD69DC" w14:textId="77777777" w:rsidTr="00DA0CB6">
        <w:trPr>
          <w:cnfStyle w:val="100000000000" w:firstRow="1" w:lastRow="0" w:firstColumn="0" w:lastColumn="0" w:oddVBand="0" w:evenVBand="0" w:oddHBand="0" w:evenHBand="0" w:firstRowFirstColumn="0" w:firstRowLastColumn="0" w:lastRowFirstColumn="0" w:lastRowLastColumn="0"/>
          <w:cantSplit/>
          <w:trHeight w:val="9"/>
          <w:tblHeader/>
        </w:trPr>
        <w:tc>
          <w:tcPr>
            <w:tcW w:w="1256" w:type="pct"/>
          </w:tcPr>
          <w:p w14:paraId="2970D7A4" w14:textId="77777777" w:rsidR="007B5503" w:rsidRPr="000C2084" w:rsidRDefault="007B5503" w:rsidP="00DA0CB6">
            <w:pPr>
              <w:pStyle w:val="DatosTabla"/>
              <w:jc w:val="left"/>
              <w:rPr>
                <w:rStyle w:val="Referenciasutil"/>
                <w:rFonts w:cstheme="majorHAnsi"/>
                <w:b w:val="0"/>
              </w:rPr>
            </w:pPr>
            <w:r w:rsidRPr="000C2084">
              <w:rPr>
                <w:rFonts w:cstheme="majorHAnsi"/>
                <w:szCs w:val="18"/>
              </w:rPr>
              <w:t>Idioma contacto</w:t>
            </w:r>
          </w:p>
        </w:tc>
        <w:tc>
          <w:tcPr>
            <w:tcW w:w="3744" w:type="pct"/>
          </w:tcPr>
          <w:p w14:paraId="690D71A3" w14:textId="77777777" w:rsidR="007B5503" w:rsidRPr="000C2084" w:rsidRDefault="007B5503" w:rsidP="00DA0CB6">
            <w:pPr>
              <w:pStyle w:val="DatosTabla"/>
              <w:jc w:val="left"/>
              <w:rPr>
                <w:rFonts w:cstheme="majorHAnsi"/>
                <w:b w:val="0"/>
                <w:bCs w:val="0"/>
                <w:szCs w:val="18"/>
                <w:lang w:val="es-ES"/>
              </w:rPr>
            </w:pPr>
            <w:r w:rsidRPr="000C2084">
              <w:rPr>
                <w:rFonts w:cstheme="majorHAnsi"/>
                <w:b w:val="0"/>
                <w:bCs w:val="0"/>
                <w:szCs w:val="18"/>
                <w:lang w:val="es-ES"/>
              </w:rPr>
              <w:t>Inglés</w:t>
            </w:r>
          </w:p>
        </w:tc>
      </w:tr>
      <w:tr w:rsidR="00B74E6F" w:rsidRPr="000C2084" w14:paraId="4223FAE1" w14:textId="77777777" w:rsidTr="00DA0CB6">
        <w:trPr>
          <w:cnfStyle w:val="100000000000" w:firstRow="1" w:lastRow="0" w:firstColumn="0" w:lastColumn="0" w:oddVBand="0" w:evenVBand="0" w:oddHBand="0" w:evenHBand="0" w:firstRowFirstColumn="0" w:firstRowLastColumn="0" w:lastRowFirstColumn="0" w:lastRowLastColumn="0"/>
          <w:cantSplit/>
          <w:trHeight w:val="9"/>
          <w:tblHeader/>
        </w:trPr>
        <w:tc>
          <w:tcPr>
            <w:tcW w:w="1256" w:type="pct"/>
          </w:tcPr>
          <w:p w14:paraId="3A62E920" w14:textId="77777777" w:rsidR="007B5503" w:rsidRPr="000C2084" w:rsidRDefault="007B5503" w:rsidP="00DA0CB6">
            <w:pPr>
              <w:pStyle w:val="DatosTabla"/>
              <w:jc w:val="left"/>
              <w:rPr>
                <w:rStyle w:val="Referenciasutil"/>
                <w:rFonts w:cstheme="majorHAnsi"/>
                <w:b w:val="0"/>
              </w:rPr>
            </w:pPr>
            <w:r w:rsidRPr="000C2084">
              <w:rPr>
                <w:rFonts w:cstheme="majorHAnsi"/>
                <w:szCs w:val="18"/>
              </w:rPr>
              <w:t>WEB</w:t>
            </w:r>
          </w:p>
        </w:tc>
        <w:tc>
          <w:tcPr>
            <w:tcW w:w="3744" w:type="pct"/>
          </w:tcPr>
          <w:p w14:paraId="7F96400C" w14:textId="24C97394" w:rsidR="007B5503" w:rsidRPr="000C2084" w:rsidRDefault="003666E1" w:rsidP="00DA0CB6">
            <w:pPr>
              <w:pStyle w:val="DatosTabla"/>
              <w:jc w:val="left"/>
              <w:rPr>
                <w:rStyle w:val="Referenciasutil"/>
                <w:rFonts w:cstheme="majorHAnsi"/>
                <w:b w:val="0"/>
                <w:bCs w:val="0"/>
              </w:rPr>
            </w:pPr>
            <w:hyperlink r:id="rId33" w:history="1">
              <w:r w:rsidR="002D20D0" w:rsidRPr="000C2084">
                <w:rPr>
                  <w:rStyle w:val="Hipervnculo"/>
                  <w:rFonts w:cstheme="majorHAnsi"/>
                  <w:b w:val="0"/>
                  <w:bCs w:val="0"/>
                  <w:sz w:val="18"/>
                  <w:szCs w:val="18"/>
                </w:rPr>
                <w:t>https://www.revelin.hr</w:t>
              </w:r>
            </w:hyperlink>
            <w:r w:rsidR="002D20D0" w:rsidRPr="000C2084">
              <w:rPr>
                <w:rFonts w:cstheme="majorHAnsi"/>
                <w:b w:val="0"/>
                <w:bCs w:val="0"/>
                <w:szCs w:val="18"/>
              </w:rPr>
              <w:t xml:space="preserve"> </w:t>
            </w:r>
          </w:p>
        </w:tc>
      </w:tr>
      <w:tr w:rsidR="00B74E6F" w:rsidRPr="000C2084" w14:paraId="494E749A" w14:textId="77777777" w:rsidTr="00DA0CB6">
        <w:trPr>
          <w:cnfStyle w:val="100000000000" w:firstRow="1" w:lastRow="0" w:firstColumn="0" w:lastColumn="0" w:oddVBand="0" w:evenVBand="0" w:oddHBand="0" w:evenHBand="0" w:firstRowFirstColumn="0" w:firstRowLastColumn="0" w:lastRowFirstColumn="0" w:lastRowLastColumn="0"/>
          <w:cantSplit/>
          <w:trHeight w:val="122"/>
          <w:tblHeader/>
        </w:trPr>
        <w:tc>
          <w:tcPr>
            <w:tcW w:w="1256" w:type="pct"/>
          </w:tcPr>
          <w:p w14:paraId="795C6094" w14:textId="471D8DA5" w:rsidR="007B5503" w:rsidRPr="000C2084" w:rsidRDefault="002D20D0" w:rsidP="00DA0CB6">
            <w:pPr>
              <w:pStyle w:val="DatosTabla"/>
              <w:jc w:val="left"/>
              <w:rPr>
                <w:rStyle w:val="Referenciasutil"/>
                <w:rFonts w:cstheme="majorHAnsi"/>
                <w:b w:val="0"/>
                <w:color w:val="auto"/>
              </w:rPr>
            </w:pPr>
            <w:r w:rsidRPr="000C2084">
              <w:rPr>
                <w:rFonts w:cstheme="majorHAnsi"/>
                <w:color w:val="auto"/>
                <w:szCs w:val="18"/>
              </w:rPr>
              <w:t xml:space="preserve">Próxima </w:t>
            </w:r>
            <w:r w:rsidR="007B5503" w:rsidRPr="000C2084">
              <w:rPr>
                <w:rFonts w:cstheme="majorHAnsi"/>
                <w:color w:val="auto"/>
                <w:szCs w:val="18"/>
              </w:rPr>
              <w:t>edición</w:t>
            </w:r>
          </w:p>
        </w:tc>
        <w:tc>
          <w:tcPr>
            <w:tcW w:w="3744" w:type="pct"/>
          </w:tcPr>
          <w:p w14:paraId="67F1FB9C" w14:textId="29C30FE5" w:rsidR="007B5503" w:rsidRPr="000C2084" w:rsidRDefault="002D20D0" w:rsidP="00DA0CB6">
            <w:pPr>
              <w:pStyle w:val="Rango1Tablas"/>
              <w:jc w:val="left"/>
              <w:rPr>
                <w:rStyle w:val="Referenciasutil"/>
                <w:rFonts w:asciiTheme="majorHAnsi" w:hAnsiTheme="majorHAnsi" w:cstheme="majorHAnsi"/>
                <w:b w:val="0"/>
                <w:color w:val="auto"/>
              </w:rPr>
            </w:pPr>
            <w:r w:rsidRPr="000C2084">
              <w:rPr>
                <w:rStyle w:val="Referenciasutil"/>
                <w:rFonts w:asciiTheme="majorHAnsi" w:hAnsiTheme="majorHAnsi" w:cstheme="majorHAnsi"/>
                <w:b w:val="0"/>
                <w:color w:val="auto"/>
              </w:rPr>
              <w:t>11-15 de octubre de 2023</w:t>
            </w:r>
          </w:p>
        </w:tc>
      </w:tr>
      <w:tr w:rsidR="00B74E6F" w:rsidRPr="000C2084" w14:paraId="0A3B012C" w14:textId="77777777" w:rsidTr="00DA0CB6">
        <w:trPr>
          <w:cnfStyle w:val="100000000000" w:firstRow="1" w:lastRow="0" w:firstColumn="0" w:lastColumn="0" w:oddVBand="0" w:evenVBand="0" w:oddHBand="0" w:evenHBand="0" w:firstRowFirstColumn="0" w:firstRowLastColumn="0" w:lastRowFirstColumn="0" w:lastRowLastColumn="0"/>
          <w:cantSplit/>
          <w:trHeight w:val="52"/>
          <w:tblHeader/>
        </w:trPr>
        <w:tc>
          <w:tcPr>
            <w:tcW w:w="1256" w:type="pct"/>
          </w:tcPr>
          <w:p w14:paraId="61DC051F" w14:textId="77777777" w:rsidR="007B5503" w:rsidRPr="000C2084" w:rsidRDefault="007B5503" w:rsidP="00DA0CB6">
            <w:pPr>
              <w:pStyle w:val="DatosTabla"/>
              <w:jc w:val="left"/>
              <w:rPr>
                <w:rStyle w:val="Referenciasutil"/>
                <w:rFonts w:cstheme="majorHAnsi"/>
                <w:b w:val="0"/>
              </w:rPr>
            </w:pPr>
            <w:r w:rsidRPr="000C2084">
              <w:rPr>
                <w:rStyle w:val="Referenciasutil"/>
                <w:rFonts w:cstheme="majorHAnsi"/>
              </w:rPr>
              <w:t>Descripción del evento</w:t>
            </w:r>
          </w:p>
        </w:tc>
        <w:tc>
          <w:tcPr>
            <w:tcW w:w="3744" w:type="pct"/>
          </w:tcPr>
          <w:p w14:paraId="50BD538C" w14:textId="77630B52" w:rsidR="007B5503" w:rsidRPr="000C2084" w:rsidRDefault="0034687C" w:rsidP="003666E1">
            <w:pPr>
              <w:pStyle w:val="DatosTabla"/>
              <w:jc w:val="both"/>
              <w:rPr>
                <w:rStyle w:val="Referenciasutil"/>
                <w:rFonts w:cstheme="majorHAnsi"/>
                <w:b w:val="0"/>
              </w:rPr>
            </w:pPr>
            <w:r w:rsidRPr="000C2084">
              <w:rPr>
                <w:rFonts w:cstheme="majorHAnsi"/>
                <w:b w:val="0"/>
                <w:bCs w:val="0"/>
                <w:szCs w:val="18"/>
              </w:rPr>
              <w:t>Reunión de expertos donde se intercambian experiencias sobre el sector del agua y saneamiento. Se presentan novedades y experiencias en abastecimiento de agua, saneamiento y tratamiento de aguas residuales a través de ponencias. El objetivo es comprender la situación actual y las tendencias futuras en este sector.</w:t>
            </w:r>
          </w:p>
        </w:tc>
      </w:tr>
    </w:tbl>
    <w:p w14:paraId="2F2D6ED2" w14:textId="77777777" w:rsidR="006A2876" w:rsidRPr="00863282" w:rsidRDefault="006A2876" w:rsidP="000D3513">
      <w:pPr>
        <w:spacing w:before="240"/>
        <w:rPr>
          <w:color w:val="auto"/>
          <w:lang w:val="es-ES"/>
        </w:rPr>
      </w:pPr>
    </w:p>
    <w:p w14:paraId="0E1DBC8D" w14:textId="7828CC26" w:rsidR="009C7E84" w:rsidRPr="00313F94" w:rsidRDefault="009C7E84" w:rsidP="00313F94">
      <w:pPr>
        <w:rPr>
          <w:b/>
          <w:color w:val="auto"/>
        </w:rPr>
        <w:sectPr w:rsidR="009C7E84" w:rsidRPr="00313F94" w:rsidSect="00AA12DB">
          <w:headerReference w:type="first" r:id="rId34"/>
          <w:footerReference w:type="first" r:id="rId35"/>
          <w:pgSz w:w="11900" w:h="16840"/>
          <w:pgMar w:top="2251" w:right="1134" w:bottom="1418" w:left="1134" w:header="2268" w:footer="561" w:gutter="0"/>
          <w:cols w:space="708"/>
          <w:docGrid w:linePitch="360"/>
        </w:sectPr>
      </w:pPr>
    </w:p>
    <w:p w14:paraId="0683D47C" w14:textId="221CCD28" w:rsidR="002B21A0" w:rsidRPr="002B21A0" w:rsidRDefault="00715E18" w:rsidP="009E2948">
      <w:r>
        <w:rPr>
          <w:noProof/>
          <w:color w:val="E2231A" w:themeColor="accent1"/>
          <w:sz w:val="18"/>
          <w:lang w:eastAsia="es-ES_tradnl"/>
        </w:rPr>
        <w:lastRenderedPageBreak/>
        <mc:AlternateContent>
          <mc:Choice Requires="wps">
            <w:drawing>
              <wp:anchor distT="0" distB="0" distL="114300" distR="114300" simplePos="0" relativeHeight="251667456" behindDoc="0" locked="1" layoutInCell="1" allowOverlap="1" wp14:anchorId="4535EAC8" wp14:editId="407CCAAE">
                <wp:simplePos x="0" y="0"/>
                <wp:positionH relativeFrom="column">
                  <wp:posOffset>2540</wp:posOffset>
                </wp:positionH>
                <wp:positionV relativeFrom="page">
                  <wp:posOffset>7773670</wp:posOffset>
                </wp:positionV>
                <wp:extent cx="4269600" cy="1810800"/>
                <wp:effectExtent l="0" t="0" r="0" b="0"/>
                <wp:wrapSquare wrapText="bothSides"/>
                <wp:docPr id="15" name="Cuadro de texto 15"/>
                <wp:cNvGraphicFramePr/>
                <a:graphic xmlns:a="http://schemas.openxmlformats.org/drawingml/2006/main">
                  <a:graphicData uri="http://schemas.microsoft.com/office/word/2010/wordprocessingShape">
                    <wps:wsp>
                      <wps:cNvSpPr txBox="1"/>
                      <wps:spPr>
                        <a:xfrm>
                          <a:off x="0" y="0"/>
                          <a:ext cx="4269600" cy="1810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F20D86" w14:textId="77777777" w:rsidR="005366F6" w:rsidRPr="002C4106" w:rsidRDefault="005366F6" w:rsidP="00715E18">
                            <w:pPr>
                              <w:rPr>
                                <w:color w:val="FFFFFF" w:themeColor="background1"/>
                                <w:sz w:val="18"/>
                                <w:szCs w:val="18"/>
                              </w:rPr>
                            </w:pPr>
                            <w:r w:rsidRPr="002C4106">
                              <w:rPr>
                                <w:color w:val="FFFFFF" w:themeColor="background1"/>
                                <w:sz w:val="18"/>
                                <w:szCs w:val="18"/>
                              </w:rPr>
                              <w:t>Si desea conocer todos los servicios que ofrece ICEX España Exportación e Inversiones para impulsar la internacionalización de su empresa contacte con:</w:t>
                            </w:r>
                          </w:p>
                          <w:p w14:paraId="3FFDBDB3" w14:textId="77777777" w:rsidR="005366F6" w:rsidRDefault="005366F6" w:rsidP="00715E18">
                            <w:pPr>
                              <w:jc w:val="left"/>
                              <w:rPr>
                                <w:rStyle w:val="Hipervnculo"/>
                                <w:color w:val="FFFFFF" w:themeColor="background1"/>
                                <w:sz w:val="18"/>
                                <w:szCs w:val="18"/>
                                <w:u w:val="none"/>
                              </w:rPr>
                            </w:pPr>
                            <w:r w:rsidRPr="002C4106">
                              <w:rPr>
                                <w:b/>
                                <w:bCs/>
                                <w:color w:val="FFFFFF" w:themeColor="background1"/>
                                <w:sz w:val="18"/>
                                <w:szCs w:val="18"/>
                              </w:rPr>
                              <w:t>Ventana Global</w:t>
                            </w:r>
                            <w:r w:rsidRPr="002C4106">
                              <w:rPr>
                                <w:color w:val="FFFFFF" w:themeColor="background1"/>
                                <w:sz w:val="18"/>
                                <w:szCs w:val="18"/>
                              </w:rPr>
                              <w:br/>
                            </w:r>
                            <w:r w:rsidRPr="00012359">
                              <w:rPr>
                                <w:color w:val="FFFFFF" w:themeColor="background1"/>
                                <w:sz w:val="18"/>
                                <w:szCs w:val="18"/>
                              </w:rPr>
                              <w:t>913</w:t>
                            </w:r>
                            <w:r>
                              <w:rPr>
                                <w:color w:val="FFFFFF" w:themeColor="background1"/>
                                <w:sz w:val="18"/>
                                <w:szCs w:val="18"/>
                              </w:rPr>
                              <w:t xml:space="preserve"> </w:t>
                            </w:r>
                            <w:r w:rsidRPr="00012359">
                              <w:rPr>
                                <w:color w:val="FFFFFF" w:themeColor="background1"/>
                                <w:sz w:val="18"/>
                                <w:szCs w:val="18"/>
                              </w:rPr>
                              <w:t>497</w:t>
                            </w:r>
                            <w:r>
                              <w:rPr>
                                <w:color w:val="FFFFFF" w:themeColor="background1"/>
                                <w:sz w:val="18"/>
                                <w:szCs w:val="18"/>
                              </w:rPr>
                              <w:t xml:space="preserve"> </w:t>
                            </w:r>
                            <w:r w:rsidRPr="00012359">
                              <w:rPr>
                                <w:color w:val="FFFFFF" w:themeColor="background1"/>
                                <w:sz w:val="18"/>
                                <w:szCs w:val="18"/>
                              </w:rPr>
                              <w:t xml:space="preserve">100 </w:t>
                            </w:r>
                            <w:r w:rsidRPr="002C4106">
                              <w:rPr>
                                <w:color w:val="FFFFFF" w:themeColor="background1"/>
                                <w:sz w:val="18"/>
                                <w:szCs w:val="18"/>
                              </w:rPr>
                              <w:t>(</w:t>
                            </w:r>
                            <w:r>
                              <w:rPr>
                                <w:color w:val="FFFFFF" w:themeColor="background1"/>
                                <w:sz w:val="18"/>
                                <w:szCs w:val="18"/>
                              </w:rPr>
                              <w:t xml:space="preserve">L-J </w:t>
                            </w:r>
                            <w:r w:rsidRPr="002C4106">
                              <w:rPr>
                                <w:color w:val="FFFFFF" w:themeColor="background1"/>
                                <w:sz w:val="18"/>
                                <w:szCs w:val="18"/>
                              </w:rPr>
                              <w:t>9 a 1</w:t>
                            </w:r>
                            <w:r>
                              <w:rPr>
                                <w:color w:val="FFFFFF" w:themeColor="background1"/>
                                <w:sz w:val="18"/>
                                <w:szCs w:val="18"/>
                              </w:rPr>
                              <w:t>7</w:t>
                            </w:r>
                            <w:r w:rsidRPr="002C4106">
                              <w:rPr>
                                <w:color w:val="FFFFFF" w:themeColor="background1"/>
                                <w:sz w:val="18"/>
                                <w:szCs w:val="18"/>
                              </w:rPr>
                              <w:t xml:space="preserve"> h</w:t>
                            </w:r>
                            <w:r>
                              <w:rPr>
                                <w:color w:val="FFFFFF" w:themeColor="background1"/>
                                <w:sz w:val="18"/>
                                <w:szCs w:val="18"/>
                              </w:rPr>
                              <w:t>; V 9 a 15 h</w:t>
                            </w:r>
                            <w:r w:rsidRPr="002C4106">
                              <w:rPr>
                                <w:color w:val="FFFFFF" w:themeColor="background1"/>
                                <w:sz w:val="18"/>
                                <w:szCs w:val="18"/>
                              </w:rPr>
                              <w:t>)</w:t>
                            </w:r>
                            <w:r w:rsidRPr="002C4106">
                              <w:rPr>
                                <w:color w:val="FFFFFF" w:themeColor="background1"/>
                                <w:sz w:val="18"/>
                                <w:szCs w:val="18"/>
                              </w:rPr>
                              <w:br/>
                            </w:r>
                            <w:hyperlink r:id="rId36" w:history="1">
                              <w:r w:rsidRPr="002C4106">
                                <w:rPr>
                                  <w:rStyle w:val="Hipervnculo"/>
                                  <w:color w:val="FFFFFF" w:themeColor="background1"/>
                                  <w:sz w:val="18"/>
                                  <w:szCs w:val="18"/>
                                  <w:u w:val="none"/>
                                </w:rPr>
                                <w:t>informacion@icex.es</w:t>
                              </w:r>
                            </w:hyperlink>
                          </w:p>
                          <w:p w14:paraId="046344C9" w14:textId="0E8A2505" w:rsidR="005366F6" w:rsidRPr="007E16A2" w:rsidRDefault="005366F6" w:rsidP="00715E18">
                            <w:pPr>
                              <w:jc w:val="left"/>
                              <w:rPr>
                                <w:rStyle w:val="Hipervnculo"/>
                                <w:sz w:val="18"/>
                                <w:szCs w:val="18"/>
                                <w:highlight w:val="yellow"/>
                              </w:rPr>
                            </w:pPr>
                            <w:r w:rsidRPr="009E4475">
                              <w:rPr>
                                <w:color w:val="FFFFFF" w:themeColor="background1"/>
                                <w:sz w:val="18"/>
                                <w:szCs w:val="18"/>
                              </w:rPr>
                              <w:t xml:space="preserve">Para buscar más información sobre mercados exteriores </w:t>
                            </w:r>
                            <w:r w:rsidR="00556FAB" w:rsidRPr="007E16A2">
                              <w:rPr>
                                <w:sz w:val="18"/>
                                <w:szCs w:val="18"/>
                                <w:highlight w:val="yellow"/>
                              </w:rPr>
                              <w:fldChar w:fldCharType="begin"/>
                            </w:r>
                            <w:r w:rsidR="00294341">
                              <w:rPr>
                                <w:sz w:val="18"/>
                                <w:szCs w:val="18"/>
                                <w:highlight w:val="yellow"/>
                              </w:rPr>
                              <w:instrText>HYPERLINK "https://www.icex.es/es/todos-nuestros-servicios/informacion-de-mercados/estudios-de-mercados-y-otros-documentos-de-comercio-exterior"</w:instrText>
                            </w:r>
                            <w:r w:rsidR="00556FAB" w:rsidRPr="007E16A2">
                              <w:rPr>
                                <w:sz w:val="18"/>
                                <w:szCs w:val="18"/>
                                <w:highlight w:val="yellow"/>
                              </w:rPr>
                            </w:r>
                            <w:r w:rsidR="00556FAB" w:rsidRPr="007E16A2">
                              <w:rPr>
                                <w:sz w:val="18"/>
                                <w:szCs w:val="18"/>
                                <w:highlight w:val="yellow"/>
                              </w:rPr>
                              <w:fldChar w:fldCharType="separate"/>
                            </w:r>
                            <w:r w:rsidRPr="00294341">
                              <w:rPr>
                                <w:rStyle w:val="Hipervnculo"/>
                                <w:sz w:val="18"/>
                                <w:szCs w:val="18"/>
                              </w:rPr>
                              <w:t>siga el enlace</w:t>
                            </w:r>
                            <w:r w:rsidRPr="007E16A2">
                              <w:rPr>
                                <w:rStyle w:val="Hipervnculo"/>
                                <w:sz w:val="18"/>
                                <w:szCs w:val="18"/>
                                <w:highlight w:val="yellow"/>
                              </w:rPr>
                              <w:t xml:space="preserve"> </w:t>
                            </w:r>
                          </w:p>
                          <w:p w14:paraId="6F5294CE" w14:textId="342C3F9E" w:rsidR="005366F6" w:rsidRPr="0032769C" w:rsidRDefault="00556FAB" w:rsidP="00715E18">
                            <w:pPr>
                              <w:jc w:val="left"/>
                              <w:rPr>
                                <w:color w:val="FFFFFF" w:themeColor="background1"/>
                                <w:lang w:val="es-ES"/>
                              </w:rPr>
                            </w:pPr>
                            <w:r w:rsidRPr="007E16A2">
                              <w:rPr>
                                <w:sz w:val="18"/>
                                <w:szCs w:val="18"/>
                                <w:highlight w:val="yellow"/>
                              </w:rPr>
                              <w:fldChar w:fldCharType="end"/>
                            </w:r>
                            <w:r w:rsidR="005366F6">
                              <w:rPr>
                                <w:color w:val="FFFFFF" w:themeColor="background1"/>
                                <w:sz w:val="18"/>
                                <w:szCs w:val="18"/>
                              </w:rPr>
                              <w:t>www.icex.es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5EAC8" id="_x0000_t202" coordsize="21600,21600" o:spt="202" path="m,l,21600r21600,l21600,xe">
                <v:stroke joinstyle="miter"/>
                <v:path gradientshapeok="t" o:connecttype="rect"/>
              </v:shapetype>
              <v:shape id="Cuadro de texto 15" o:spid="_x0000_s1029" type="#_x0000_t202" style="position:absolute;left:0;text-align:left;margin-left:.2pt;margin-top:612.1pt;width:336.2pt;height:1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" filled="f" stroked="f">
                <v:textbox>
                  <w:txbxContent>
                    <w:p w14:paraId="6BF20D86" w14:textId="77777777" w:rsidR="005366F6" w:rsidRPr="002C4106" w:rsidRDefault="005366F6" w:rsidP="00715E18">
                      <w:pPr>
                        <w:rPr>
                          <w:color w:val="FFFFFF" w:themeColor="background1"/>
                          <w:sz w:val="18"/>
                          <w:szCs w:val="18"/>
                        </w:rPr>
                      </w:pPr>
                      <w:r w:rsidRPr="002C4106">
                        <w:rPr>
                          <w:color w:val="FFFFFF" w:themeColor="background1"/>
                          <w:sz w:val="18"/>
                          <w:szCs w:val="18"/>
                        </w:rPr>
                        <w:t>Si desea conocer todos los servicios que ofrece ICEX España Exportación e Inversiones para impulsar la internacionalización de su empresa contacte con:</w:t>
                      </w:r>
                    </w:p>
                    <w:p w14:paraId="3FFDBDB3" w14:textId="77777777" w:rsidR="005366F6" w:rsidRDefault="005366F6" w:rsidP="00715E18">
                      <w:pPr>
                        <w:jc w:val="left"/>
                        <w:rPr>
                          <w:rStyle w:val="Hipervnculo"/>
                          <w:color w:val="FFFFFF" w:themeColor="background1"/>
                          <w:sz w:val="18"/>
                          <w:szCs w:val="18"/>
                          <w:u w:val="none"/>
                        </w:rPr>
                      </w:pPr>
                      <w:r w:rsidRPr="002C4106">
                        <w:rPr>
                          <w:b/>
                          <w:bCs/>
                          <w:color w:val="FFFFFF" w:themeColor="background1"/>
                          <w:sz w:val="18"/>
                          <w:szCs w:val="18"/>
                        </w:rPr>
                        <w:t>Ventana Global</w:t>
                      </w:r>
                      <w:r w:rsidRPr="002C4106">
                        <w:rPr>
                          <w:color w:val="FFFFFF" w:themeColor="background1"/>
                          <w:sz w:val="18"/>
                          <w:szCs w:val="18"/>
                        </w:rPr>
                        <w:br/>
                      </w:r>
                      <w:r w:rsidRPr="00012359">
                        <w:rPr>
                          <w:color w:val="FFFFFF" w:themeColor="background1"/>
                          <w:sz w:val="18"/>
                          <w:szCs w:val="18"/>
                        </w:rPr>
                        <w:t>913</w:t>
                      </w:r>
                      <w:r>
                        <w:rPr>
                          <w:color w:val="FFFFFF" w:themeColor="background1"/>
                          <w:sz w:val="18"/>
                          <w:szCs w:val="18"/>
                        </w:rPr>
                        <w:t xml:space="preserve"> </w:t>
                      </w:r>
                      <w:r w:rsidRPr="00012359">
                        <w:rPr>
                          <w:color w:val="FFFFFF" w:themeColor="background1"/>
                          <w:sz w:val="18"/>
                          <w:szCs w:val="18"/>
                        </w:rPr>
                        <w:t>497</w:t>
                      </w:r>
                      <w:r>
                        <w:rPr>
                          <w:color w:val="FFFFFF" w:themeColor="background1"/>
                          <w:sz w:val="18"/>
                          <w:szCs w:val="18"/>
                        </w:rPr>
                        <w:t xml:space="preserve"> </w:t>
                      </w:r>
                      <w:r w:rsidRPr="00012359">
                        <w:rPr>
                          <w:color w:val="FFFFFF" w:themeColor="background1"/>
                          <w:sz w:val="18"/>
                          <w:szCs w:val="18"/>
                        </w:rPr>
                        <w:t xml:space="preserve">100 </w:t>
                      </w:r>
                      <w:r w:rsidRPr="002C4106">
                        <w:rPr>
                          <w:color w:val="FFFFFF" w:themeColor="background1"/>
                          <w:sz w:val="18"/>
                          <w:szCs w:val="18"/>
                        </w:rPr>
                        <w:t>(</w:t>
                      </w:r>
                      <w:r>
                        <w:rPr>
                          <w:color w:val="FFFFFF" w:themeColor="background1"/>
                          <w:sz w:val="18"/>
                          <w:szCs w:val="18"/>
                        </w:rPr>
                        <w:t xml:space="preserve">L-J </w:t>
                      </w:r>
                      <w:r w:rsidRPr="002C4106">
                        <w:rPr>
                          <w:color w:val="FFFFFF" w:themeColor="background1"/>
                          <w:sz w:val="18"/>
                          <w:szCs w:val="18"/>
                        </w:rPr>
                        <w:t>9 a 1</w:t>
                      </w:r>
                      <w:r>
                        <w:rPr>
                          <w:color w:val="FFFFFF" w:themeColor="background1"/>
                          <w:sz w:val="18"/>
                          <w:szCs w:val="18"/>
                        </w:rPr>
                        <w:t>7</w:t>
                      </w:r>
                      <w:r w:rsidRPr="002C4106">
                        <w:rPr>
                          <w:color w:val="FFFFFF" w:themeColor="background1"/>
                          <w:sz w:val="18"/>
                          <w:szCs w:val="18"/>
                        </w:rPr>
                        <w:t xml:space="preserve"> h</w:t>
                      </w:r>
                      <w:r>
                        <w:rPr>
                          <w:color w:val="FFFFFF" w:themeColor="background1"/>
                          <w:sz w:val="18"/>
                          <w:szCs w:val="18"/>
                        </w:rPr>
                        <w:t>; V 9 a 15 h</w:t>
                      </w:r>
                      <w:r w:rsidRPr="002C4106">
                        <w:rPr>
                          <w:color w:val="FFFFFF" w:themeColor="background1"/>
                          <w:sz w:val="18"/>
                          <w:szCs w:val="18"/>
                        </w:rPr>
                        <w:t>)</w:t>
                      </w:r>
                      <w:r w:rsidRPr="002C4106">
                        <w:rPr>
                          <w:color w:val="FFFFFF" w:themeColor="background1"/>
                          <w:sz w:val="18"/>
                          <w:szCs w:val="18"/>
                        </w:rPr>
                        <w:br/>
                      </w:r>
                      <w:hyperlink r:id="rId37" w:history="1">
                        <w:r w:rsidRPr="002C4106">
                          <w:rPr>
                            <w:rStyle w:val="Hipervnculo"/>
                            <w:color w:val="FFFFFF" w:themeColor="background1"/>
                            <w:sz w:val="18"/>
                            <w:szCs w:val="18"/>
                            <w:u w:val="none"/>
                          </w:rPr>
                          <w:t>informacion@icex.es</w:t>
                        </w:r>
                      </w:hyperlink>
                    </w:p>
                    <w:p w14:paraId="046344C9" w14:textId="0E8A2505" w:rsidR="005366F6" w:rsidRPr="007E16A2" w:rsidRDefault="005366F6" w:rsidP="00715E18">
                      <w:pPr>
                        <w:jc w:val="left"/>
                        <w:rPr>
                          <w:rStyle w:val="Hipervnculo"/>
                          <w:sz w:val="18"/>
                          <w:szCs w:val="18"/>
                          <w:highlight w:val="yellow"/>
                        </w:rPr>
                      </w:pPr>
                      <w:r w:rsidRPr="009E4475">
                        <w:rPr>
                          <w:color w:val="FFFFFF" w:themeColor="background1"/>
                          <w:sz w:val="18"/>
                          <w:szCs w:val="18"/>
                        </w:rPr>
                        <w:t xml:space="preserve">Para buscar más información sobre mercados exteriores </w:t>
                      </w:r>
                      <w:r w:rsidR="00556FAB" w:rsidRPr="007E16A2">
                        <w:rPr>
                          <w:sz w:val="18"/>
                          <w:szCs w:val="18"/>
                          <w:highlight w:val="yellow"/>
                        </w:rPr>
                        <w:fldChar w:fldCharType="begin"/>
                      </w:r>
                      <w:r w:rsidR="00294341">
                        <w:rPr>
                          <w:sz w:val="18"/>
                          <w:szCs w:val="18"/>
                          <w:highlight w:val="yellow"/>
                        </w:rPr>
                        <w:instrText>HYPERLINK "https://www.icex.es/es/todos-nuestros-servicios/informacion-de-mercados/estudios-de-mercados-y-otros-documentos-de-comercio-exterior"</w:instrText>
                      </w:r>
                      <w:r w:rsidR="00556FAB" w:rsidRPr="007E16A2">
                        <w:rPr>
                          <w:sz w:val="18"/>
                          <w:szCs w:val="18"/>
                          <w:highlight w:val="yellow"/>
                        </w:rPr>
                      </w:r>
                      <w:r w:rsidR="00556FAB" w:rsidRPr="007E16A2">
                        <w:rPr>
                          <w:sz w:val="18"/>
                          <w:szCs w:val="18"/>
                          <w:highlight w:val="yellow"/>
                        </w:rPr>
                        <w:fldChar w:fldCharType="separate"/>
                      </w:r>
                      <w:r w:rsidRPr="00294341">
                        <w:rPr>
                          <w:rStyle w:val="Hipervnculo"/>
                          <w:sz w:val="18"/>
                          <w:szCs w:val="18"/>
                        </w:rPr>
                        <w:t>siga el enlace</w:t>
                      </w:r>
                      <w:r w:rsidRPr="007E16A2">
                        <w:rPr>
                          <w:rStyle w:val="Hipervnculo"/>
                          <w:sz w:val="18"/>
                          <w:szCs w:val="18"/>
                          <w:highlight w:val="yellow"/>
                        </w:rPr>
                        <w:t xml:space="preserve"> </w:t>
                      </w:r>
                    </w:p>
                    <w:p w14:paraId="6F5294CE" w14:textId="342C3F9E" w:rsidR="005366F6" w:rsidRPr="0032769C" w:rsidRDefault="00556FAB" w:rsidP="00715E18">
                      <w:pPr>
                        <w:jc w:val="left"/>
                        <w:rPr>
                          <w:color w:val="FFFFFF" w:themeColor="background1"/>
                          <w:lang w:val="es-ES"/>
                        </w:rPr>
                      </w:pPr>
                      <w:r w:rsidRPr="007E16A2">
                        <w:rPr>
                          <w:sz w:val="18"/>
                          <w:szCs w:val="18"/>
                          <w:highlight w:val="yellow"/>
                        </w:rPr>
                        <w:fldChar w:fldCharType="end"/>
                      </w:r>
                      <w:r w:rsidR="005366F6">
                        <w:rPr>
                          <w:color w:val="FFFFFF" w:themeColor="background1"/>
                          <w:sz w:val="18"/>
                          <w:szCs w:val="18"/>
                        </w:rPr>
                        <w:t>www.icex.es</w:t>
                      </w:r>
                    </w:p>
                  </w:txbxContent>
                </v:textbox>
                <w10:wrap type="square" anchory="page"/>
                <w10:anchorlock/>
              </v:shape>
            </w:pict>
          </mc:Fallback>
        </mc:AlternateContent>
      </w:r>
    </w:p>
    <w:sectPr w:rsidR="002B21A0" w:rsidRPr="002B21A0" w:rsidSect="00AA12DB">
      <w:headerReference w:type="default" r:id="rId38"/>
      <w:footerReference w:type="default" r:id="rId39"/>
      <w:headerReference w:type="first" r:id="rId40"/>
      <w:footerReference w:type="first" r:id="rId41"/>
      <w:pgSz w:w="11900" w:h="16840"/>
      <w:pgMar w:top="2251" w:right="1134" w:bottom="1418" w:left="1134" w:header="2268"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9C0E" w14:textId="77777777" w:rsidR="0045683B" w:rsidRDefault="0045683B" w:rsidP="00C56803">
      <w:pPr>
        <w:spacing w:after="0" w:line="240" w:lineRule="auto"/>
      </w:pPr>
      <w:r>
        <w:separator/>
      </w:r>
    </w:p>
  </w:endnote>
  <w:endnote w:type="continuationSeparator" w:id="0">
    <w:p w14:paraId="41600D8F" w14:textId="77777777" w:rsidR="0045683B" w:rsidRDefault="0045683B" w:rsidP="00C5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Times New Roman"/>
    <w:charset w:val="00"/>
    <w:family w:val="auto"/>
    <w:pitch w:val="variable"/>
    <w:sig w:usb0="60000287" w:usb1="00000001" w:usb2="00000000" w:usb3="00000000" w:csb0="0000019F" w:csb1="00000000"/>
  </w:font>
  <w:font w:name="Calibri-Light">
    <w:altName w:val="Calibri Light"/>
    <w:charset w:val="00"/>
    <w:family w:val="auto"/>
    <w:pitch w:val="variable"/>
    <w:sig w:usb0="A00002EF" w:usb1="4000207B" w:usb2="00000000" w:usb3="00000000" w:csb0="0000019F" w:csb1="00000000"/>
  </w:font>
  <w:font w:name="HelveticaNeueLT Pro 55 Roman">
    <w:panose1 w:val="020B0604020202020204"/>
    <w:charset w:val="00"/>
    <w:family w:val="swiss"/>
    <w:notTrueType/>
    <w:pitch w:val="variable"/>
    <w:sig w:usb0="800000AF" w:usb1="5000204A" w:usb2="00000000" w:usb3="00000000" w:csb0="0000009B"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D7C9" w14:textId="77777777" w:rsidR="005366F6" w:rsidRDefault="005366F6" w:rsidP="002F3ED6">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F8ED1E" w14:textId="77777777" w:rsidR="005366F6" w:rsidRDefault="005366F6" w:rsidP="004C4AB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B722" w14:textId="77777777" w:rsidR="005366F6" w:rsidRPr="00622A66" w:rsidRDefault="005366F6" w:rsidP="002F3ED6">
    <w:pPr>
      <w:pStyle w:val="Piedepgina"/>
      <w:framePr w:wrap="none" w:vAnchor="text" w:hAnchor="margin" w:xAlign="center" w:y="1"/>
      <w:spacing w:before="240"/>
      <w:rPr>
        <w:rStyle w:val="Nmerodepgina"/>
        <w:sz w:val="22"/>
      </w:rPr>
    </w:pPr>
    <w:r w:rsidRPr="00622A66">
      <w:rPr>
        <w:rStyle w:val="Nmerodepgina"/>
        <w:sz w:val="22"/>
      </w:rPr>
      <w:fldChar w:fldCharType="begin"/>
    </w:r>
    <w:r w:rsidRPr="00622A66">
      <w:rPr>
        <w:rStyle w:val="Nmerodepgina"/>
        <w:sz w:val="22"/>
      </w:rPr>
      <w:instrText xml:space="preserve">PAGE  </w:instrText>
    </w:r>
    <w:r w:rsidRPr="00622A66">
      <w:rPr>
        <w:rStyle w:val="Nmerodepgina"/>
        <w:sz w:val="22"/>
      </w:rPr>
      <w:fldChar w:fldCharType="separate"/>
    </w:r>
    <w:r>
      <w:rPr>
        <w:rStyle w:val="Nmerodepgina"/>
        <w:noProof/>
        <w:sz w:val="22"/>
      </w:rPr>
      <w:t>17</w:t>
    </w:r>
    <w:r w:rsidRPr="00622A66">
      <w:rPr>
        <w:rStyle w:val="Nmerodepgina"/>
        <w:sz w:val="22"/>
      </w:rPr>
      <w:fldChar w:fldCharType="end"/>
    </w:r>
  </w:p>
  <w:p w14:paraId="04C48612" w14:textId="5D9D082A" w:rsidR="005366F6" w:rsidRPr="00D16B72" w:rsidRDefault="00294341" w:rsidP="00294341">
    <w:pPr>
      <w:pStyle w:val="Piedepgina"/>
      <w:tabs>
        <w:tab w:val="clear" w:pos="4252"/>
        <w:tab w:val="clear" w:pos="8504"/>
        <w:tab w:val="left" w:pos="5580"/>
        <w:tab w:val="right" w:pos="9632"/>
      </w:tabs>
      <w:jc w:val="left"/>
    </w:pPr>
    <w:r>
      <w:tab/>
    </w:r>
    <w:r>
      <w:tab/>
    </w:r>
    <w:r w:rsidR="005366F6">
      <w:rPr>
        <w:noProof/>
        <w:lang w:eastAsia="es-ES_tradnl"/>
      </w:rPr>
      <mc:AlternateContent>
        <mc:Choice Requires="wps">
          <w:drawing>
            <wp:anchor distT="0" distB="0" distL="114300" distR="114300" simplePos="0" relativeHeight="251689984" behindDoc="0" locked="0" layoutInCell="1" allowOverlap="1" wp14:anchorId="1A5EB004" wp14:editId="6FC13DDC">
              <wp:simplePos x="0" y="0"/>
              <wp:positionH relativeFrom="margin">
                <wp:align>right</wp:align>
              </wp:positionH>
              <wp:positionV relativeFrom="page">
                <wp:posOffset>10076180</wp:posOffset>
              </wp:positionV>
              <wp:extent cx="2444400" cy="442800"/>
              <wp:effectExtent l="0" t="0" r="0" b="0"/>
              <wp:wrapNone/>
              <wp:docPr id="151" name="Cuadro de texto 151"/>
              <wp:cNvGraphicFramePr/>
              <a:graphic xmlns:a="http://schemas.openxmlformats.org/drawingml/2006/main">
                <a:graphicData uri="http://schemas.microsoft.com/office/word/2010/wordprocessingShape">
                  <wps:wsp>
                    <wps:cNvSpPr txBox="1"/>
                    <wps:spPr>
                      <a:xfrm>
                        <a:off x="0" y="0"/>
                        <a:ext cx="2444400" cy="442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1FC1ED" w14:textId="1679DB9A" w:rsidR="005366F6" w:rsidRPr="0010163E" w:rsidRDefault="005366F6" w:rsidP="002F3ED6">
                          <w:pPr>
                            <w:pStyle w:val="Piedepgina"/>
                          </w:pPr>
                          <w:r w:rsidRPr="0010163E">
                            <w:t>Oficina Económica y Comercial de la Embajada de España en</w:t>
                          </w:r>
                          <w:r>
                            <w:t xml:space="preserve"> Zagreb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EB004" id="_x0000_t202" coordsize="21600,21600" o:spt="202" path="m,l,21600r21600,l21600,xe">
              <v:stroke joinstyle="miter"/>
              <v:path gradientshapeok="t" o:connecttype="rect"/>
            </v:shapetype>
            <v:shape id="Cuadro de texto 151" o:spid="_x0000_s1031" type="#_x0000_t202" style="position:absolute;left:0;text-align:left;margin-left:141.25pt;margin-top:793.4pt;width:192.45pt;height:34.8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" filled="f" stroked="f">
              <v:textbox>
                <w:txbxContent>
                  <w:p w14:paraId="0C1FC1ED" w14:textId="1679DB9A" w:rsidR="005366F6" w:rsidRPr="0010163E" w:rsidRDefault="005366F6" w:rsidP="002F3ED6">
                    <w:pPr>
                      <w:pStyle w:val="Piedepgina"/>
                    </w:pPr>
                    <w:r w:rsidRPr="0010163E">
                      <w:t>Oficina Económica y Comercial de la Embajada de España en</w:t>
                    </w:r>
                    <w:r>
                      <w:t xml:space="preserve"> Zagreb</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9033" w14:textId="2F6B3C64" w:rsidR="005366F6" w:rsidRDefault="005366F6" w:rsidP="004C4ABB">
    <w:pPr>
      <w:pStyle w:val="Piedepgina"/>
      <w:tabs>
        <w:tab w:val="clear" w:pos="4252"/>
        <w:tab w:val="clear" w:pos="8504"/>
      </w:tabs>
      <w:rPr>
        <w:rStyle w:val="Nmerodepgi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64B3" w14:textId="1ACDFFC6" w:rsidR="005366F6" w:rsidRDefault="005366F6" w:rsidP="004C4ABB">
    <w:pPr>
      <w:pStyle w:val="Piedepgina"/>
      <w:rPr>
        <w:rStyle w:val="Nmerodepgin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FD67" w14:textId="77777777" w:rsidR="005366F6" w:rsidRPr="00011A6A" w:rsidRDefault="005366F6" w:rsidP="0010163E">
    <w:pPr>
      <w:pStyle w:val="Piedepgina"/>
      <w:spacing w:before="240"/>
      <w:ind w:right="357"/>
      <w:jc w:val="center"/>
      <w:rPr>
        <w:rStyle w:val="Nmerodepgin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B5D5" w14:textId="77777777" w:rsidR="005366F6" w:rsidRPr="00D16B72" w:rsidRDefault="005366F6" w:rsidP="00011A6A">
    <w:pPr>
      <w:pStyle w:val="Piedepgina"/>
      <w:tabs>
        <w:tab w:val="clear" w:pos="4252"/>
        <w:tab w:val="clear" w:pos="8504"/>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F36A" w14:textId="77777777" w:rsidR="005366F6" w:rsidRDefault="005366F6" w:rsidP="0010163E">
    <w:pPr>
      <w:pStyle w:val="Piedepgina"/>
      <w:framePr w:wrap="none" w:vAnchor="text" w:hAnchor="margin" w:xAlign="center" w:y="1"/>
      <w:spacing w:before="240"/>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361EEC6B" w14:textId="77777777" w:rsidR="005366F6" w:rsidRPr="00011A6A" w:rsidRDefault="005366F6" w:rsidP="0010163E">
    <w:pPr>
      <w:pStyle w:val="Piedepgina"/>
      <w:spacing w:before="240"/>
      <w:ind w:right="357"/>
      <w:jc w:val="center"/>
      <w:rPr>
        <w:rStyle w:val="Nmerodepgina"/>
      </w:rPr>
    </w:pPr>
    <w:r>
      <w:rPr>
        <w:noProof/>
        <w:lang w:eastAsia="es-ES_tradnl"/>
      </w:rPr>
      <mc:AlternateContent>
        <mc:Choice Requires="wps">
          <w:drawing>
            <wp:anchor distT="0" distB="0" distL="114300" distR="114300" simplePos="0" relativeHeight="251705344" behindDoc="0" locked="0" layoutInCell="1" allowOverlap="1" wp14:anchorId="74454942" wp14:editId="211865A9">
              <wp:simplePos x="0" y="0"/>
              <wp:positionH relativeFrom="margin">
                <wp:posOffset>2875788</wp:posOffset>
              </wp:positionH>
              <wp:positionV relativeFrom="page">
                <wp:posOffset>10076688</wp:posOffset>
              </wp:positionV>
              <wp:extent cx="2444400" cy="441452"/>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444400" cy="44145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71F7EA" w14:textId="77777777" w:rsidR="005366F6" w:rsidRPr="0010163E" w:rsidRDefault="005366F6" w:rsidP="003766C5">
                          <w:pPr>
                            <w:pStyle w:val="Piedepgina"/>
                          </w:pPr>
                          <w:r w:rsidRPr="0010163E">
                            <w:t>Oficina Económica y Comercial de la Embajada de España en [Ciudad]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54942" id="_x0000_t202" coordsize="21600,21600" o:spt="202" path="m,l,21600r21600,l21600,xe">
              <v:stroke joinstyle="miter"/>
              <v:path gradientshapeok="t" o:connecttype="rect"/>
            </v:shapetype>
            <v:shape id="Cuadro de texto 6" o:spid="_x0000_s1034" type="#_x0000_t202" style="position:absolute;left:0;text-align:left;margin-left:226.45pt;margin-top:793.45pt;width:192.45pt;height:34.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" filled="f" stroked="f">
              <v:textbox>
                <w:txbxContent>
                  <w:p w14:paraId="3871F7EA" w14:textId="77777777" w:rsidR="005366F6" w:rsidRPr="0010163E" w:rsidRDefault="005366F6" w:rsidP="003766C5">
                    <w:pPr>
                      <w:pStyle w:val="Piedepgina"/>
                    </w:pPr>
                    <w:r w:rsidRPr="0010163E">
                      <w:t>Oficina Económica y Comercial de la Embajada de España en [Ciudad]</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AE6B" w14:textId="77777777" w:rsidR="0045683B" w:rsidRDefault="0045683B" w:rsidP="00C56803">
      <w:pPr>
        <w:spacing w:after="0" w:line="240" w:lineRule="auto"/>
      </w:pPr>
      <w:r>
        <w:separator/>
      </w:r>
    </w:p>
  </w:footnote>
  <w:footnote w:type="continuationSeparator" w:id="0">
    <w:p w14:paraId="6DC48B94" w14:textId="77777777" w:rsidR="0045683B" w:rsidRDefault="0045683B" w:rsidP="00C56803">
      <w:pPr>
        <w:spacing w:after="0" w:line="240" w:lineRule="auto"/>
      </w:pPr>
      <w:r>
        <w:continuationSeparator/>
      </w:r>
    </w:p>
  </w:footnote>
  <w:footnote w:id="1">
    <w:p w14:paraId="6982ADE9" w14:textId="685BF14D" w:rsidR="00B25708" w:rsidRPr="00B25708" w:rsidRDefault="00B25708">
      <w:pPr>
        <w:pStyle w:val="Textonotapie"/>
      </w:pPr>
      <w:r>
        <w:rPr>
          <w:rStyle w:val="Refdenotaalpie"/>
        </w:rPr>
        <w:footnoteRef/>
      </w:r>
      <w:r>
        <w:t xml:space="preserve"> Eurostat. </w:t>
      </w:r>
      <w:r w:rsidRPr="00337977">
        <w:rPr>
          <w:i/>
          <w:iCs/>
        </w:rPr>
        <w:t>Water statistics</w:t>
      </w:r>
      <w:r>
        <w:t xml:space="preserve">. Disponible en: </w:t>
      </w:r>
      <w:hyperlink r:id="rId1" w:history="1">
        <w:r w:rsidRPr="00965407">
          <w:rPr>
            <w:rStyle w:val="Hipervnculo"/>
            <w:sz w:val="16"/>
          </w:rPr>
          <w:t>https://ec.europa.eu/eurostat/statistics-explained/index.php?title=Water_statistics</w:t>
        </w:r>
      </w:hyperlink>
      <w:r>
        <w:t xml:space="preserve"> [Último acceso: 23 de agosto de 2023].</w:t>
      </w:r>
    </w:p>
  </w:footnote>
  <w:footnote w:id="2">
    <w:p w14:paraId="5BEE6701" w14:textId="4516D3D1" w:rsidR="00B25708" w:rsidRPr="00B25708" w:rsidRDefault="00B25708">
      <w:pPr>
        <w:pStyle w:val="Textonotapie"/>
      </w:pPr>
      <w:r>
        <w:rPr>
          <w:rStyle w:val="Refdenotaalpie"/>
        </w:rPr>
        <w:footnoteRef/>
      </w:r>
      <w:r>
        <w:t xml:space="preserve"> Ibídem.</w:t>
      </w:r>
    </w:p>
  </w:footnote>
  <w:footnote w:id="3">
    <w:p w14:paraId="70440031" w14:textId="77777777" w:rsidR="00337977" w:rsidRPr="00B25708" w:rsidRDefault="00337977" w:rsidP="00337977">
      <w:pPr>
        <w:pStyle w:val="Textonotapie"/>
      </w:pPr>
      <w:r>
        <w:rPr>
          <w:rStyle w:val="Refdenotaalpie"/>
        </w:rPr>
        <w:footnoteRef/>
      </w:r>
      <w:r>
        <w:t xml:space="preserve"> OECD. </w:t>
      </w:r>
      <w:r w:rsidRPr="00337977">
        <w:rPr>
          <w:i/>
          <w:iCs/>
        </w:rPr>
        <w:t>Croatia</w:t>
      </w:r>
      <w:r>
        <w:t xml:space="preserve">. Disponible en: </w:t>
      </w:r>
      <w:hyperlink r:id="rId2" w:history="1">
        <w:r w:rsidRPr="00965407">
          <w:rPr>
            <w:rStyle w:val="Hipervnculo"/>
            <w:sz w:val="16"/>
          </w:rPr>
          <w:t>https://www.oecd.org/environment/resources/financing-water-supply-sanitation-and-flood-protection-country-fact-sheet-croatia.pdf</w:t>
        </w:r>
      </w:hyperlink>
      <w:r>
        <w:t xml:space="preserve"> [Último acceso: 23 de agosto de 2023].</w:t>
      </w:r>
    </w:p>
  </w:footnote>
  <w:footnote w:id="4">
    <w:p w14:paraId="157A13C4" w14:textId="319E62CE" w:rsidR="00146A39" w:rsidRPr="00146A39" w:rsidRDefault="00146A39">
      <w:pPr>
        <w:pStyle w:val="Textonotapie"/>
        <w:rPr>
          <w:lang w:val="es-ES"/>
        </w:rPr>
      </w:pPr>
      <w:r>
        <w:rPr>
          <w:rStyle w:val="Refdenotaalpie"/>
        </w:rPr>
        <w:footnoteRef/>
      </w:r>
      <w:r w:rsidRPr="00146A39">
        <w:rPr>
          <w:lang w:val="en-US"/>
        </w:rPr>
        <w:t xml:space="preserve"> </w:t>
      </w:r>
      <w:bookmarkStart w:id="7" w:name="_Hlk144045112"/>
      <w:r w:rsidRPr="00146A39">
        <w:rPr>
          <w:lang w:val="en-US"/>
        </w:rPr>
        <w:t xml:space="preserve">Croatian Bureau of Statistics. </w:t>
      </w:r>
      <w:r w:rsidRPr="00146A39">
        <w:rPr>
          <w:i/>
          <w:iCs/>
          <w:lang w:val="en-US"/>
        </w:rPr>
        <w:t>Collection, purification and distribution of water, 2022</w:t>
      </w:r>
      <w:r w:rsidRPr="00146A39">
        <w:rPr>
          <w:lang w:val="en-US"/>
        </w:rPr>
        <w:t xml:space="preserve">. </w:t>
      </w:r>
      <w:r w:rsidRPr="00146A39">
        <w:rPr>
          <w:lang w:val="es-ES"/>
        </w:rPr>
        <w:t xml:space="preserve">Disponible en: </w:t>
      </w:r>
      <w:hyperlink r:id="rId3" w:history="1">
        <w:r w:rsidRPr="0053099B">
          <w:rPr>
            <w:rStyle w:val="Hipervnculo"/>
            <w:sz w:val="16"/>
            <w:lang w:val="es-ES"/>
          </w:rPr>
          <w:t>https://podaci.dzs.hr/2023/en/58074</w:t>
        </w:r>
      </w:hyperlink>
      <w:r>
        <w:rPr>
          <w:lang w:val="es-ES"/>
        </w:rPr>
        <w:t xml:space="preserve"> </w:t>
      </w:r>
      <w:r w:rsidRPr="00146A39">
        <w:rPr>
          <w:lang w:val="es-ES"/>
        </w:rPr>
        <w:t>[Último acceso: 24 de agosto de 2023].</w:t>
      </w:r>
      <w:bookmarkEnd w:id="7"/>
    </w:p>
  </w:footnote>
  <w:footnote w:id="5">
    <w:p w14:paraId="37732052" w14:textId="63A8FDA9" w:rsidR="006227F7" w:rsidRPr="006227F7" w:rsidRDefault="006227F7">
      <w:pPr>
        <w:pStyle w:val="Textonotapie"/>
        <w:rPr>
          <w:lang w:val="es-ES"/>
        </w:rPr>
      </w:pPr>
      <w:r>
        <w:rPr>
          <w:rStyle w:val="Refdenotaalpie"/>
        </w:rPr>
        <w:footnoteRef/>
      </w:r>
      <w:r>
        <w:t xml:space="preserve"> Comisión Europea. </w:t>
      </w:r>
      <w:r w:rsidRPr="00B73892">
        <w:rPr>
          <w:i/>
          <w:iCs/>
          <w:lang w:val="es-ES"/>
        </w:rPr>
        <w:t>Clean energy for EU islands</w:t>
      </w:r>
      <w:r w:rsidRPr="00B73892">
        <w:rPr>
          <w:lang w:val="es-ES"/>
        </w:rPr>
        <w:t xml:space="preserve"> – </w:t>
      </w:r>
      <w:r w:rsidRPr="00940421">
        <w:rPr>
          <w:i/>
          <w:iCs/>
          <w:lang w:val="es-ES"/>
        </w:rPr>
        <w:t>Croatia</w:t>
      </w:r>
      <w:r w:rsidRPr="00B73892">
        <w:rPr>
          <w:lang w:val="es-ES"/>
        </w:rPr>
        <w:t xml:space="preserve">. </w:t>
      </w:r>
      <w:r w:rsidRPr="006227F7">
        <w:rPr>
          <w:lang w:val="es-ES"/>
        </w:rPr>
        <w:t xml:space="preserve">Disponible en: </w:t>
      </w:r>
      <w:hyperlink r:id="rId4" w:history="1">
        <w:r w:rsidRPr="00BB35BF">
          <w:rPr>
            <w:rStyle w:val="Hipervnculo"/>
            <w:sz w:val="16"/>
            <w:lang w:val="es-ES"/>
          </w:rPr>
          <w:t>https://clean-energy-islands.ec.europa.eu/countries/croatia</w:t>
        </w:r>
      </w:hyperlink>
      <w:r>
        <w:rPr>
          <w:lang w:val="es-ES"/>
        </w:rPr>
        <w:t xml:space="preserve"> [Último acceso: 24 de agosto de 2023].</w:t>
      </w:r>
    </w:p>
  </w:footnote>
  <w:footnote w:id="6">
    <w:p w14:paraId="5437847F" w14:textId="4EB5792E" w:rsidR="00945D7F" w:rsidRPr="00CC07B5" w:rsidRDefault="00945D7F">
      <w:pPr>
        <w:pStyle w:val="Textonotapie"/>
        <w:rPr>
          <w:lang w:val="es-ES"/>
        </w:rPr>
      </w:pPr>
      <w:r>
        <w:rPr>
          <w:rStyle w:val="Refdenotaalpie"/>
        </w:rPr>
        <w:footnoteRef/>
      </w:r>
      <w:r w:rsidRPr="009E6564">
        <w:rPr>
          <w:lang w:val="en-US"/>
        </w:rPr>
        <w:t xml:space="preserve"> </w:t>
      </w:r>
      <w:r w:rsidR="00146A39" w:rsidRPr="009E6564">
        <w:rPr>
          <w:lang w:val="en-US"/>
        </w:rPr>
        <w:t>Croatian Bureau of Statistics</w:t>
      </w:r>
      <w:r w:rsidRPr="009E6564">
        <w:rPr>
          <w:lang w:val="en-US" w:eastAsia="es-ES"/>
        </w:rPr>
        <w:t>.</w:t>
      </w:r>
      <w:r w:rsidR="00CC07B5" w:rsidRPr="009E6564">
        <w:rPr>
          <w:lang w:val="en-US" w:eastAsia="es-ES"/>
        </w:rPr>
        <w:t xml:space="preserve"> </w:t>
      </w:r>
      <w:r w:rsidRPr="00945D7F">
        <w:rPr>
          <w:i/>
          <w:iCs/>
          <w:lang w:val="en-US" w:eastAsia="es-ES"/>
        </w:rPr>
        <w:t xml:space="preserve">Short-term indicators of energy statistics, </w:t>
      </w:r>
      <w:r>
        <w:rPr>
          <w:i/>
          <w:iCs/>
          <w:lang w:val="en-US" w:eastAsia="es-ES"/>
        </w:rPr>
        <w:t>M</w:t>
      </w:r>
      <w:r w:rsidRPr="00945D7F">
        <w:rPr>
          <w:i/>
          <w:iCs/>
          <w:lang w:val="en-US" w:eastAsia="es-ES"/>
        </w:rPr>
        <w:t>ay 2023, first results</w:t>
      </w:r>
      <w:r w:rsidRPr="00945D7F">
        <w:rPr>
          <w:lang w:val="en-US" w:eastAsia="es-ES"/>
        </w:rPr>
        <w:t>.</w:t>
      </w:r>
      <w:r>
        <w:rPr>
          <w:lang w:val="en-US" w:eastAsia="es-ES"/>
        </w:rPr>
        <w:t xml:space="preserve"> </w:t>
      </w:r>
      <w:r w:rsidRPr="00CC07B5">
        <w:rPr>
          <w:lang w:val="es-ES" w:eastAsia="es-ES"/>
        </w:rPr>
        <w:t xml:space="preserve">Disponible en: </w:t>
      </w:r>
      <w:hyperlink r:id="rId5" w:history="1">
        <w:r w:rsidR="00CC07B5" w:rsidRPr="00CC07B5">
          <w:rPr>
            <w:rStyle w:val="Hipervnculo"/>
            <w:sz w:val="16"/>
            <w:lang w:val="es-ES" w:eastAsia="es-ES"/>
          </w:rPr>
          <w:t>https://podaci.dzs.hr/2023/en/58094</w:t>
        </w:r>
      </w:hyperlink>
      <w:r w:rsidR="00CC07B5" w:rsidRPr="00CC07B5">
        <w:rPr>
          <w:lang w:val="es-ES" w:eastAsia="es-ES"/>
        </w:rPr>
        <w:t xml:space="preserve"> </w:t>
      </w:r>
      <w:r w:rsidR="00CC07B5">
        <w:rPr>
          <w:lang w:val="es-ES" w:eastAsia="es-ES"/>
        </w:rPr>
        <w:t>[Último acceso: 4 de agosto de 2023].</w:t>
      </w:r>
    </w:p>
  </w:footnote>
  <w:footnote w:id="7">
    <w:p w14:paraId="070B3BAB" w14:textId="3C7B5A5D" w:rsidR="00307F55" w:rsidRPr="00307F55" w:rsidRDefault="00307F55">
      <w:pPr>
        <w:pStyle w:val="Textonotapie"/>
        <w:rPr>
          <w:lang w:val="es-ES"/>
        </w:rPr>
      </w:pPr>
      <w:r>
        <w:rPr>
          <w:rStyle w:val="Refdenotaalpie"/>
        </w:rPr>
        <w:footnoteRef/>
      </w:r>
      <w:r>
        <w:t xml:space="preserve"> </w:t>
      </w:r>
      <w:r>
        <w:rPr>
          <w:lang w:val="es-ES"/>
        </w:rPr>
        <w:t>Según ONU-Agua, e</w:t>
      </w:r>
      <w:r w:rsidRPr="00307F55">
        <w:rPr>
          <w:lang w:val="es-ES"/>
        </w:rPr>
        <w:t>l grado de implantación de la gestión integrada de los recursos hídricos en Croacia es del 90%</w:t>
      </w:r>
      <w:r>
        <w:rPr>
          <w:lang w:val="es-ES"/>
        </w:rPr>
        <w:t xml:space="preserve"> (alta). </w:t>
      </w:r>
      <w:r w:rsidRPr="00307F55">
        <w:rPr>
          <w:lang w:val="es-ES"/>
        </w:rPr>
        <w:t>Para medir el grado de implementación, se utiliza una escala que va de cero a 100. Es decir, se evalúa qué tan avanzado está un país en la aplicación de la Gestión Integrada de los Recursos Hídricos, siendo 100 el máximo nivel de implementación.</w:t>
      </w:r>
      <w:r>
        <w:rPr>
          <w:lang w:val="es-ES"/>
        </w:rPr>
        <w:t xml:space="preserve"> Disponible en: </w:t>
      </w:r>
      <w:hyperlink r:id="rId6" w:anchor="anchor_6.5.1" w:history="1">
        <w:r w:rsidRPr="00EB2B61">
          <w:rPr>
            <w:rStyle w:val="Hipervnculo"/>
            <w:sz w:val="16"/>
            <w:lang w:val="es-ES"/>
          </w:rPr>
          <w:t>https://sdg6data.org/en/country-or-area/Croatia#anchor_6.5.1</w:t>
        </w:r>
      </w:hyperlink>
      <w:r>
        <w:rPr>
          <w:lang w:val="es-ES"/>
        </w:rPr>
        <w:t xml:space="preserve"> [Último acceso: 8 de agosto de 2023].</w:t>
      </w:r>
    </w:p>
  </w:footnote>
  <w:footnote w:id="8">
    <w:p w14:paraId="39BACB21" w14:textId="029AE591" w:rsidR="00626023" w:rsidRPr="00626023" w:rsidRDefault="00626023">
      <w:pPr>
        <w:pStyle w:val="Textonotapie"/>
        <w:rPr>
          <w:lang w:val="es-ES"/>
        </w:rPr>
      </w:pPr>
      <w:r>
        <w:rPr>
          <w:rStyle w:val="Refdenotaalpie"/>
        </w:rPr>
        <w:footnoteRef/>
      </w:r>
      <w:r w:rsidRPr="002122FA">
        <w:rPr>
          <w:lang w:val="en-US"/>
        </w:rPr>
        <w:t xml:space="preserve"> Grupo Banco Mundial. </w:t>
      </w:r>
      <w:r w:rsidRPr="00626023">
        <w:rPr>
          <w:i/>
          <w:iCs/>
          <w:lang w:val="en-US"/>
        </w:rPr>
        <w:t>Water and Wastewater Services in the Danube Region: Croatia Country Note</w:t>
      </w:r>
      <w:r w:rsidRPr="00626023">
        <w:rPr>
          <w:lang w:val="en-US"/>
        </w:rPr>
        <w:t xml:space="preserve">. </w:t>
      </w:r>
      <w:r w:rsidRPr="00626023">
        <w:rPr>
          <w:lang w:val="es-ES"/>
        </w:rPr>
        <w:t xml:space="preserve">Disponible en: </w:t>
      </w:r>
      <w:hyperlink r:id="rId7" w:history="1">
        <w:r w:rsidRPr="00F91693">
          <w:rPr>
            <w:rStyle w:val="Hipervnculo"/>
            <w:sz w:val="16"/>
            <w:lang w:val="es-ES"/>
          </w:rPr>
          <w:t>https://openknowledge.worldbank.org/entities/publication/760f9b56-798f-5527-ba9c-adcb07deae29</w:t>
        </w:r>
      </w:hyperlink>
      <w:r>
        <w:rPr>
          <w:lang w:val="es-ES"/>
        </w:rPr>
        <w:t xml:space="preserve"> [Último acceso: 12 de julio de 2023].</w:t>
      </w:r>
    </w:p>
  </w:footnote>
  <w:footnote w:id="9">
    <w:p w14:paraId="74A6D5DE" w14:textId="0EE50F9B" w:rsidR="00355D87" w:rsidRPr="00355D87" w:rsidRDefault="00355D87">
      <w:pPr>
        <w:pStyle w:val="Textonotapie"/>
        <w:rPr>
          <w:lang w:val="es-ES"/>
        </w:rPr>
      </w:pPr>
      <w:r>
        <w:rPr>
          <w:rStyle w:val="Refdenotaalpie"/>
        </w:rPr>
        <w:footnoteRef/>
      </w:r>
      <w:r>
        <w:t xml:space="preserve"> </w:t>
      </w:r>
      <w:r>
        <w:rPr>
          <w:lang w:val="es-ES"/>
        </w:rPr>
        <w:t xml:space="preserve">Comisión Europea. </w:t>
      </w:r>
      <w:r w:rsidRPr="00355D87">
        <w:rPr>
          <w:i/>
          <w:iCs/>
          <w:lang w:val="es-ES"/>
        </w:rPr>
        <w:t>Programme Competitiveness and Cohesion 2021-2027</w:t>
      </w:r>
      <w:r>
        <w:rPr>
          <w:lang w:val="es-ES"/>
        </w:rPr>
        <w:t xml:space="preserve">. Disponible en: </w:t>
      </w:r>
      <w:hyperlink r:id="rId8" w:history="1">
        <w:r w:rsidRPr="00F91693">
          <w:rPr>
            <w:rStyle w:val="Hipervnculo"/>
            <w:sz w:val="16"/>
            <w:lang w:val="es-ES"/>
          </w:rPr>
          <w:t>https://ec.europa.eu/regional_policy/in-your-country/programmes/2021-2027/hr/2021hr16ffpr001_en</w:t>
        </w:r>
      </w:hyperlink>
      <w:r>
        <w:rPr>
          <w:lang w:val="es-ES"/>
        </w:rPr>
        <w:t xml:space="preserve"> [Último acceso: 12 de julio de 2023].</w:t>
      </w:r>
    </w:p>
  </w:footnote>
  <w:footnote w:id="10">
    <w:p w14:paraId="6BA01A22" w14:textId="524C273B" w:rsidR="00355D87" w:rsidRPr="00355D87" w:rsidRDefault="00355D87">
      <w:pPr>
        <w:pStyle w:val="Textonotapie"/>
        <w:rPr>
          <w:lang w:val="es-ES"/>
        </w:rPr>
      </w:pPr>
      <w:r>
        <w:rPr>
          <w:rStyle w:val="Refdenotaalpie"/>
        </w:rPr>
        <w:footnoteRef/>
      </w:r>
      <w:r>
        <w:t xml:space="preserve"> </w:t>
      </w:r>
      <w:r>
        <w:rPr>
          <w:lang w:val="es-ES"/>
        </w:rPr>
        <w:t xml:space="preserve">Comisión Europea. </w:t>
      </w:r>
      <w:r w:rsidRPr="00355D87">
        <w:rPr>
          <w:i/>
          <w:iCs/>
          <w:lang w:val="es-ES"/>
        </w:rPr>
        <w:t>Integrated Territorial Programme 2021-2027</w:t>
      </w:r>
      <w:r>
        <w:rPr>
          <w:lang w:val="es-ES"/>
        </w:rPr>
        <w:t xml:space="preserve">. Disponible en: </w:t>
      </w:r>
      <w:hyperlink r:id="rId9" w:history="1">
        <w:r w:rsidRPr="00F91693">
          <w:rPr>
            <w:rStyle w:val="Hipervnculo"/>
            <w:sz w:val="16"/>
            <w:lang w:val="es-ES"/>
          </w:rPr>
          <w:t>https://ec.europa.eu/regional_policy/in-your-country/programmes/2021-2027/hr/2021hr16ffpr002_en</w:t>
        </w:r>
      </w:hyperlink>
      <w:r>
        <w:rPr>
          <w:lang w:val="es-ES"/>
        </w:rPr>
        <w:t xml:space="preserve"> [Último acceso: 12 de julio de 2023].</w:t>
      </w:r>
    </w:p>
  </w:footnote>
  <w:footnote w:id="11">
    <w:p w14:paraId="0B62EC10" w14:textId="77777777" w:rsidR="002138C5" w:rsidRPr="00573CE9" w:rsidRDefault="002138C5" w:rsidP="002138C5">
      <w:pPr>
        <w:pStyle w:val="Textonotapie"/>
        <w:rPr>
          <w:lang w:val="es-ES"/>
        </w:rPr>
      </w:pPr>
      <w:r>
        <w:rPr>
          <w:rStyle w:val="Refdenotaalpie"/>
        </w:rPr>
        <w:footnoteRef/>
      </w:r>
      <w:r w:rsidRPr="00573CE9">
        <w:rPr>
          <w:lang w:val="en-US"/>
        </w:rPr>
        <w:t xml:space="preserve"> The W</w:t>
      </w:r>
      <w:r>
        <w:rPr>
          <w:lang w:val="en-US"/>
        </w:rPr>
        <w:t xml:space="preserve">orld Bank. </w:t>
      </w:r>
      <w:r w:rsidRPr="00870671">
        <w:rPr>
          <w:i/>
          <w:iCs/>
          <w:lang w:val="en-US"/>
        </w:rPr>
        <w:t>Population, total – Croatia</w:t>
      </w:r>
      <w:r w:rsidRPr="00870671">
        <w:rPr>
          <w:lang w:val="en-US"/>
        </w:rPr>
        <w:t xml:space="preserve">. </w:t>
      </w:r>
      <w:r w:rsidRPr="00573CE9">
        <w:rPr>
          <w:lang w:val="es-ES"/>
        </w:rPr>
        <w:t xml:space="preserve">Disponible en: </w:t>
      </w:r>
      <w:hyperlink r:id="rId10" w:history="1">
        <w:r w:rsidRPr="00D63959">
          <w:rPr>
            <w:rStyle w:val="Hipervnculo"/>
            <w:sz w:val="16"/>
            <w:lang w:val="es-ES"/>
          </w:rPr>
          <w:t>https://data.worldbank.org/indicator/SP.POP.TOTL?locations=HR</w:t>
        </w:r>
      </w:hyperlink>
      <w:r>
        <w:rPr>
          <w:lang w:val="es-ES"/>
        </w:rPr>
        <w:t xml:space="preserve"> [Último acceso: 7 de agosto de 2023].</w:t>
      </w:r>
    </w:p>
  </w:footnote>
  <w:footnote w:id="12">
    <w:p w14:paraId="0C82ECFF" w14:textId="77777777" w:rsidR="002138C5" w:rsidRPr="00337977" w:rsidRDefault="002138C5" w:rsidP="002138C5">
      <w:pPr>
        <w:pStyle w:val="Textonotapie"/>
        <w:rPr>
          <w:lang w:val="es-ES"/>
        </w:rPr>
      </w:pPr>
      <w:r>
        <w:rPr>
          <w:rStyle w:val="Refdenotaalpie"/>
        </w:rPr>
        <w:footnoteRef/>
      </w:r>
      <w:r w:rsidRPr="001D42B0">
        <w:rPr>
          <w:lang w:val="es-ES"/>
        </w:rPr>
        <w:t xml:space="preserve"> OECD. </w:t>
      </w:r>
      <w:r w:rsidRPr="001D42B0">
        <w:rPr>
          <w:i/>
          <w:iCs/>
          <w:lang w:val="es-ES"/>
        </w:rPr>
        <w:t>Croatia</w:t>
      </w:r>
      <w:r w:rsidRPr="001D42B0">
        <w:rPr>
          <w:lang w:val="es-ES"/>
        </w:rPr>
        <w:t xml:space="preserve">. </w:t>
      </w:r>
      <w:r w:rsidRPr="00337977">
        <w:rPr>
          <w:lang w:val="es-ES"/>
        </w:rPr>
        <w:t xml:space="preserve">Disponible en: </w:t>
      </w:r>
      <w:hyperlink r:id="rId11" w:history="1">
        <w:r w:rsidRPr="00965407">
          <w:rPr>
            <w:rStyle w:val="Hipervnculo"/>
            <w:sz w:val="16"/>
            <w:lang w:val="es-ES"/>
          </w:rPr>
          <w:t>https://www.oecd.org/environment/resources/financing-water-supply-sanitation-and-flood-protection-country-fact-sheet-croatia.pdf</w:t>
        </w:r>
      </w:hyperlink>
      <w:r>
        <w:rPr>
          <w:lang w:val="es-ES"/>
        </w:rPr>
        <w:t xml:space="preserve"> [Último acceso: 23 de agosto de 2023].</w:t>
      </w:r>
    </w:p>
  </w:footnote>
  <w:footnote w:id="13">
    <w:p w14:paraId="16E4E5B3" w14:textId="08B7DCF1" w:rsidR="002138C5" w:rsidRPr="00A506EF" w:rsidRDefault="002138C5" w:rsidP="002138C5">
      <w:pPr>
        <w:pStyle w:val="Textonotapie"/>
        <w:rPr>
          <w:lang w:val="es-ES"/>
        </w:rPr>
      </w:pPr>
      <w:r>
        <w:rPr>
          <w:rStyle w:val="Refdenotaalpie"/>
        </w:rPr>
        <w:footnoteRef/>
      </w:r>
      <w:r w:rsidRPr="009E6564">
        <w:rPr>
          <w:lang w:val="en-US"/>
        </w:rPr>
        <w:t xml:space="preserve"> </w:t>
      </w:r>
      <w:bookmarkStart w:id="18" w:name="_Hlk144044878"/>
      <w:r w:rsidR="00146A39" w:rsidRPr="009E6564">
        <w:rPr>
          <w:lang w:val="en-US"/>
        </w:rPr>
        <w:t>Croatian Bureau of Statistics</w:t>
      </w:r>
      <w:r w:rsidRPr="009E6564">
        <w:rPr>
          <w:lang w:val="en-US" w:eastAsia="es-ES"/>
        </w:rPr>
        <w:t xml:space="preserve">. </w:t>
      </w:r>
      <w:r w:rsidRPr="00A506EF">
        <w:rPr>
          <w:i/>
          <w:iCs/>
          <w:lang w:val="en-US" w:eastAsia="es-ES"/>
        </w:rPr>
        <w:t>Collection, purification and distribution of water, 2022</w:t>
      </w:r>
      <w:r>
        <w:rPr>
          <w:lang w:val="en-US" w:eastAsia="es-ES"/>
        </w:rPr>
        <w:t xml:space="preserve">. </w:t>
      </w:r>
      <w:r w:rsidRPr="00A506EF">
        <w:rPr>
          <w:lang w:val="es-ES" w:eastAsia="es-ES"/>
        </w:rPr>
        <w:t xml:space="preserve">Disponible en: </w:t>
      </w:r>
      <w:hyperlink r:id="rId12" w:history="1">
        <w:r w:rsidRPr="00A506EF">
          <w:rPr>
            <w:rStyle w:val="Hipervnculo"/>
            <w:sz w:val="16"/>
            <w:lang w:val="es-ES" w:eastAsia="es-ES"/>
          </w:rPr>
          <w:t>https://podaci.dzs.hr/2023/en/58074</w:t>
        </w:r>
      </w:hyperlink>
      <w:r w:rsidRPr="00A506EF">
        <w:rPr>
          <w:lang w:val="es-ES" w:eastAsia="es-ES"/>
        </w:rPr>
        <w:t xml:space="preserve"> [</w:t>
      </w:r>
      <w:r>
        <w:rPr>
          <w:lang w:val="es-ES" w:eastAsia="es-ES"/>
        </w:rPr>
        <w:t>Último acceso: 24 de agosto de 2023].</w:t>
      </w:r>
      <w:bookmarkEnd w:id="18"/>
    </w:p>
  </w:footnote>
  <w:footnote w:id="14">
    <w:p w14:paraId="58D79DF4" w14:textId="73CE5044" w:rsidR="0038607E" w:rsidRPr="00F63DE7" w:rsidRDefault="0038607E" w:rsidP="0038607E">
      <w:pPr>
        <w:pStyle w:val="Textonotapie"/>
        <w:rPr>
          <w:lang w:val="es-ES"/>
        </w:rPr>
      </w:pPr>
      <w:r>
        <w:rPr>
          <w:rStyle w:val="Refdenotaalpie"/>
        </w:rPr>
        <w:footnoteRef/>
      </w:r>
      <w:r w:rsidRPr="001D42B0">
        <w:rPr>
          <w:lang w:val="es-ES"/>
        </w:rPr>
        <w:t xml:space="preserve"> UNICEF Data. </w:t>
      </w:r>
      <w:r w:rsidRPr="00870671">
        <w:rPr>
          <w:i/>
          <w:iCs/>
          <w:lang w:val="es-ES"/>
        </w:rPr>
        <w:t>Drinking water</w:t>
      </w:r>
      <w:r w:rsidRPr="00870671">
        <w:rPr>
          <w:lang w:val="es-ES"/>
        </w:rPr>
        <w:t xml:space="preserve">. </w:t>
      </w:r>
      <w:r w:rsidRPr="00F63DE7">
        <w:rPr>
          <w:lang w:val="es-ES"/>
        </w:rPr>
        <w:t xml:space="preserve">Disponible en: </w:t>
      </w:r>
      <w:hyperlink r:id="rId13" w:history="1">
        <w:r w:rsidRPr="00D63959">
          <w:rPr>
            <w:rStyle w:val="Hipervnculo"/>
            <w:sz w:val="16"/>
            <w:lang w:val="es-ES"/>
          </w:rPr>
          <w:t>https://data.unicef.org/topic/water-and-sanitation/drinking-water/</w:t>
        </w:r>
      </w:hyperlink>
      <w:r>
        <w:rPr>
          <w:lang w:val="es-ES"/>
        </w:rPr>
        <w:t xml:space="preserve"> [Último acceso: 7 de agosto de 2023].</w:t>
      </w:r>
    </w:p>
  </w:footnote>
  <w:footnote w:id="15">
    <w:p w14:paraId="17F6A9C9" w14:textId="77777777" w:rsidR="0038607E" w:rsidRPr="00021CAF" w:rsidRDefault="0038607E" w:rsidP="0038607E">
      <w:pPr>
        <w:pStyle w:val="Textonotapie"/>
        <w:rPr>
          <w:lang w:val="es-ES"/>
        </w:rPr>
      </w:pPr>
      <w:r>
        <w:rPr>
          <w:rStyle w:val="Refdenotaalpie"/>
        </w:rPr>
        <w:footnoteRef/>
      </w:r>
      <w:r w:rsidRPr="00021CAF">
        <w:rPr>
          <w:lang w:val="en-US"/>
        </w:rPr>
        <w:t xml:space="preserve"> </w:t>
      </w:r>
      <w:bookmarkStart w:id="19" w:name="_Hlk142387551"/>
      <w:r w:rsidRPr="00021CAF">
        <w:rPr>
          <w:lang w:val="en-US"/>
        </w:rPr>
        <w:t>UN-Water</w:t>
      </w:r>
      <w:r>
        <w:rPr>
          <w:lang w:val="en-US"/>
        </w:rPr>
        <w:t xml:space="preserve"> (United Nations)</w:t>
      </w:r>
      <w:r w:rsidRPr="00021CAF">
        <w:rPr>
          <w:lang w:val="en-US"/>
        </w:rPr>
        <w:t xml:space="preserve">. </w:t>
      </w:r>
      <w:r w:rsidRPr="00021CAF">
        <w:rPr>
          <w:i/>
          <w:iCs/>
          <w:lang w:val="en-US"/>
        </w:rPr>
        <w:t>Croatia</w:t>
      </w:r>
      <w:r w:rsidRPr="00021CAF">
        <w:rPr>
          <w:lang w:val="en-US"/>
        </w:rPr>
        <w:t xml:space="preserve">. </w:t>
      </w:r>
      <w:r w:rsidRPr="00021CAF">
        <w:rPr>
          <w:lang w:val="es-ES"/>
        </w:rPr>
        <w:t xml:space="preserve">Disponible en: </w:t>
      </w:r>
      <w:hyperlink r:id="rId14" w:history="1">
        <w:r w:rsidRPr="00D63959">
          <w:rPr>
            <w:rStyle w:val="Hipervnculo"/>
            <w:sz w:val="16"/>
            <w:lang w:val="es-ES"/>
          </w:rPr>
          <w:t>https://sdg6data.org/en/country-or-area/Croatia</w:t>
        </w:r>
      </w:hyperlink>
      <w:r>
        <w:rPr>
          <w:lang w:val="es-ES"/>
        </w:rPr>
        <w:t xml:space="preserve"> [Últ. acceso: 7 de agosto de 2023].</w:t>
      </w:r>
      <w:bookmarkEnd w:id="19"/>
    </w:p>
  </w:footnote>
  <w:footnote w:id="16">
    <w:p w14:paraId="2639A051" w14:textId="425D90B2" w:rsidR="00D279C8" w:rsidRPr="00D279C8" w:rsidRDefault="00D279C8">
      <w:pPr>
        <w:pStyle w:val="Textonotapie"/>
        <w:rPr>
          <w:lang w:val="es-ES"/>
        </w:rPr>
      </w:pPr>
      <w:r>
        <w:rPr>
          <w:rStyle w:val="Refdenotaalpie"/>
        </w:rPr>
        <w:footnoteRef/>
      </w:r>
      <w:r>
        <w:t xml:space="preserve"> </w:t>
      </w:r>
      <w:r>
        <w:rPr>
          <w:lang w:val="es-ES"/>
        </w:rPr>
        <w:t>Según l</w:t>
      </w:r>
      <w:r w:rsidRPr="00D279C8">
        <w:rPr>
          <w:lang w:val="es-ES"/>
        </w:rPr>
        <w:t>a Organización para la Cooperación y el Desarrollo Económicos</w:t>
      </w:r>
      <w:r>
        <w:rPr>
          <w:lang w:val="es-ES"/>
        </w:rPr>
        <w:t>, se estima que la inversión total en infraestructuras</w:t>
      </w:r>
      <w:r w:rsidRPr="00D279C8">
        <w:rPr>
          <w:lang w:val="es-ES"/>
        </w:rPr>
        <w:t xml:space="preserve"> de servicios públicos de agua</w:t>
      </w:r>
      <w:r>
        <w:rPr>
          <w:lang w:val="es-ES"/>
        </w:rPr>
        <w:t xml:space="preserve"> </w:t>
      </w:r>
      <w:r w:rsidR="00A206D8">
        <w:rPr>
          <w:lang w:val="es-ES"/>
        </w:rPr>
        <w:t>en Croacia (</w:t>
      </w:r>
      <w:r>
        <w:rPr>
          <w:lang w:val="es-ES"/>
        </w:rPr>
        <w:t>desde 2014 hasta 2023</w:t>
      </w:r>
      <w:r w:rsidR="00A206D8">
        <w:rPr>
          <w:lang w:val="es-ES"/>
        </w:rPr>
        <w:t>)</w:t>
      </w:r>
      <w:r>
        <w:rPr>
          <w:lang w:val="es-ES"/>
        </w:rPr>
        <w:t xml:space="preserve"> ha sido de unos 3,8 miles de millones de euros.</w:t>
      </w:r>
    </w:p>
  </w:footnote>
  <w:footnote w:id="17">
    <w:p w14:paraId="3CD8DE15" w14:textId="40306C7D" w:rsidR="00885816" w:rsidRPr="00885816" w:rsidRDefault="00885816">
      <w:pPr>
        <w:pStyle w:val="Textonotapie"/>
        <w:rPr>
          <w:lang w:val="es-ES"/>
        </w:rPr>
      </w:pPr>
      <w:r>
        <w:rPr>
          <w:rStyle w:val="Refdenotaalpie"/>
        </w:rPr>
        <w:footnoteRef/>
      </w:r>
      <w:r w:rsidRPr="00885816">
        <w:rPr>
          <w:lang w:val="en-US"/>
        </w:rPr>
        <w:t xml:space="preserve"> C</w:t>
      </w:r>
      <w:r>
        <w:rPr>
          <w:lang w:val="en-US"/>
        </w:rPr>
        <w:t>roatian</w:t>
      </w:r>
      <w:r w:rsidRPr="00885816">
        <w:rPr>
          <w:lang w:val="en-US"/>
        </w:rPr>
        <w:t xml:space="preserve"> </w:t>
      </w:r>
      <w:r w:rsidRPr="00966BC7">
        <w:rPr>
          <w:lang w:val="en-US"/>
        </w:rPr>
        <w:t>Bureau of Statistics</w:t>
      </w:r>
      <w:r>
        <w:rPr>
          <w:lang w:val="en-US"/>
        </w:rPr>
        <w:t xml:space="preserve">. </w:t>
      </w:r>
      <w:r w:rsidRPr="00885816">
        <w:rPr>
          <w:i/>
          <w:iCs/>
          <w:lang w:val="en-US"/>
        </w:rPr>
        <w:t>Croatia in figures, 2021</w:t>
      </w:r>
      <w:r>
        <w:rPr>
          <w:lang w:val="en-US"/>
        </w:rPr>
        <w:t xml:space="preserve">. </w:t>
      </w:r>
      <w:r w:rsidRPr="00885816">
        <w:rPr>
          <w:lang w:val="es-ES"/>
        </w:rPr>
        <w:t xml:space="preserve">Disponible en: </w:t>
      </w:r>
      <w:hyperlink r:id="rId15" w:history="1">
        <w:r w:rsidRPr="0053099B">
          <w:rPr>
            <w:rStyle w:val="Hipervnculo"/>
            <w:sz w:val="16"/>
            <w:lang w:val="es-ES"/>
          </w:rPr>
          <w:t>https://podaci.dzs.hr/media/fagflfgk/croinfig_2021.pdf</w:t>
        </w:r>
      </w:hyperlink>
      <w:r>
        <w:rPr>
          <w:lang w:val="es-ES"/>
        </w:rPr>
        <w:t xml:space="preserve"> [Último acceso: 24 de agosto de 2023].</w:t>
      </w:r>
    </w:p>
  </w:footnote>
  <w:footnote w:id="18">
    <w:p w14:paraId="37C42354" w14:textId="2AA5E921" w:rsidR="00966BC7" w:rsidRPr="00966BC7" w:rsidRDefault="00966BC7">
      <w:pPr>
        <w:pStyle w:val="Textonotapie"/>
        <w:rPr>
          <w:lang w:val="es-ES"/>
        </w:rPr>
      </w:pPr>
      <w:r>
        <w:rPr>
          <w:rStyle w:val="Refdenotaalpie"/>
        </w:rPr>
        <w:footnoteRef/>
      </w:r>
      <w:r w:rsidRPr="00966BC7">
        <w:rPr>
          <w:lang w:val="en-US"/>
        </w:rPr>
        <w:t xml:space="preserve"> Croatian Bureau of Statistics. </w:t>
      </w:r>
      <w:r w:rsidRPr="00966BC7">
        <w:rPr>
          <w:i/>
          <w:iCs/>
          <w:lang w:val="en-US"/>
        </w:rPr>
        <w:t>Collection, purification and distribution of water, 2022</w:t>
      </w:r>
      <w:r w:rsidRPr="00966BC7">
        <w:rPr>
          <w:lang w:val="en-US"/>
        </w:rPr>
        <w:t xml:space="preserve">. </w:t>
      </w:r>
      <w:r w:rsidRPr="00966BC7">
        <w:rPr>
          <w:lang w:val="es-ES"/>
        </w:rPr>
        <w:t xml:space="preserve">Disponible en: </w:t>
      </w:r>
      <w:hyperlink r:id="rId16" w:history="1">
        <w:r w:rsidRPr="0053099B">
          <w:rPr>
            <w:rStyle w:val="Hipervnculo"/>
            <w:sz w:val="16"/>
            <w:lang w:val="es-ES"/>
          </w:rPr>
          <w:t>https://podaci.dzs.hr/2023/en/58074</w:t>
        </w:r>
      </w:hyperlink>
      <w:r>
        <w:rPr>
          <w:lang w:val="es-ES"/>
        </w:rPr>
        <w:t xml:space="preserve"> </w:t>
      </w:r>
      <w:r w:rsidRPr="00966BC7">
        <w:rPr>
          <w:lang w:val="es-ES"/>
        </w:rPr>
        <w:t>[Último acceso: 24 de agosto de 2023].</w:t>
      </w:r>
    </w:p>
  </w:footnote>
  <w:footnote w:id="19">
    <w:p w14:paraId="136A2367" w14:textId="40C8A0AA" w:rsidR="00001F12" w:rsidRPr="00001F12" w:rsidRDefault="00001F12">
      <w:pPr>
        <w:pStyle w:val="Textonotapie"/>
        <w:rPr>
          <w:lang w:val="es-ES"/>
        </w:rPr>
      </w:pPr>
      <w:r>
        <w:rPr>
          <w:rStyle w:val="Refdenotaalpie"/>
        </w:rPr>
        <w:footnoteRef/>
      </w:r>
      <w:r w:rsidRPr="009E6564">
        <w:rPr>
          <w:lang w:val="en-US"/>
        </w:rPr>
        <w:t xml:space="preserve"> Croatian Bureau of Statistics. </w:t>
      </w:r>
      <w:r w:rsidRPr="00001F12">
        <w:rPr>
          <w:i/>
          <w:iCs/>
          <w:lang w:val="en-US"/>
        </w:rPr>
        <w:t>Collection, purification and distribution of water, 2020 and 2022</w:t>
      </w:r>
      <w:r>
        <w:rPr>
          <w:lang w:val="en-US"/>
        </w:rPr>
        <w:t xml:space="preserve">. </w:t>
      </w:r>
      <w:r w:rsidRPr="00001F12">
        <w:rPr>
          <w:lang w:val="es-ES"/>
        </w:rPr>
        <w:t xml:space="preserve">Disponible en: </w:t>
      </w:r>
      <w:hyperlink r:id="rId17" w:history="1">
        <w:r w:rsidRPr="00001F12">
          <w:rPr>
            <w:rStyle w:val="Hipervnculo"/>
            <w:sz w:val="16"/>
            <w:lang w:val="es-ES"/>
          </w:rPr>
          <w:t>https://podaci.dzs.hr/2021/en/10479</w:t>
        </w:r>
      </w:hyperlink>
      <w:r w:rsidRPr="00001F12">
        <w:rPr>
          <w:lang w:val="es-ES"/>
        </w:rPr>
        <w:t xml:space="preserve"> y </w:t>
      </w:r>
      <w:hyperlink r:id="rId18" w:history="1">
        <w:r w:rsidRPr="0053099B">
          <w:rPr>
            <w:rStyle w:val="Hipervnculo"/>
            <w:sz w:val="16"/>
            <w:lang w:val="es-ES"/>
          </w:rPr>
          <w:t>https://podaci.dzs.hr/2023/en/58074</w:t>
        </w:r>
      </w:hyperlink>
      <w:r>
        <w:rPr>
          <w:lang w:val="es-ES"/>
        </w:rPr>
        <w:t xml:space="preserve"> [Último acceso: 24 de agosto de 2023].</w:t>
      </w:r>
    </w:p>
  </w:footnote>
  <w:footnote w:id="20">
    <w:p w14:paraId="09027E9D" w14:textId="77777777" w:rsidR="000818A1" w:rsidRPr="00F95A57" w:rsidRDefault="000818A1" w:rsidP="000818A1">
      <w:pPr>
        <w:pStyle w:val="Textonotapie"/>
        <w:rPr>
          <w:lang w:val="es-ES"/>
        </w:rPr>
      </w:pPr>
      <w:r>
        <w:rPr>
          <w:rStyle w:val="Refdenotaalpie"/>
        </w:rPr>
        <w:footnoteRef/>
      </w:r>
      <w:r w:rsidRPr="009E6564">
        <w:rPr>
          <w:lang w:val="es-ES"/>
        </w:rPr>
        <w:t xml:space="preserve"> Eurostat. </w:t>
      </w:r>
      <w:r w:rsidRPr="00337977">
        <w:rPr>
          <w:i/>
          <w:iCs/>
        </w:rPr>
        <w:t>Water statistics</w:t>
      </w:r>
      <w:r>
        <w:t xml:space="preserve">. Disponible en: </w:t>
      </w:r>
      <w:hyperlink r:id="rId19" w:history="1">
        <w:r w:rsidRPr="00965407">
          <w:rPr>
            <w:rStyle w:val="Hipervnculo"/>
            <w:sz w:val="16"/>
          </w:rPr>
          <w:t>https://ec.europa.eu/eurostat/statistics-explained/index.php?title=Water_statistics</w:t>
        </w:r>
      </w:hyperlink>
      <w:r>
        <w:t xml:space="preserve"> [Último acceso: 23 de agosto de 2023].</w:t>
      </w:r>
    </w:p>
  </w:footnote>
  <w:footnote w:id="21">
    <w:p w14:paraId="6CCA0909" w14:textId="05342777" w:rsidR="00AC69D7" w:rsidRPr="00AC69D7" w:rsidRDefault="00AC69D7">
      <w:pPr>
        <w:pStyle w:val="Textonotapie"/>
        <w:rPr>
          <w:lang w:val="es-ES"/>
        </w:rPr>
      </w:pPr>
      <w:r>
        <w:rPr>
          <w:rStyle w:val="Refdenotaalpie"/>
        </w:rPr>
        <w:footnoteRef/>
      </w:r>
      <w:r w:rsidRPr="00AC69D7">
        <w:rPr>
          <w:lang w:val="en-US"/>
        </w:rPr>
        <w:t xml:space="preserve"> </w:t>
      </w:r>
      <w:bookmarkStart w:id="24" w:name="_Hlk144370263"/>
      <w:r w:rsidRPr="00AC69D7">
        <w:rPr>
          <w:lang w:val="en-US"/>
        </w:rPr>
        <w:t xml:space="preserve">Croatian Bureau of Statistics. </w:t>
      </w:r>
      <w:r w:rsidRPr="00AC69D7">
        <w:rPr>
          <w:i/>
          <w:iCs/>
          <w:lang w:val="en-US"/>
        </w:rPr>
        <w:t>Public sewage system</w:t>
      </w:r>
      <w:r>
        <w:rPr>
          <w:lang w:val="en-US"/>
        </w:rPr>
        <w:t xml:space="preserve">. </w:t>
      </w:r>
      <w:r w:rsidRPr="00AC69D7">
        <w:rPr>
          <w:lang w:val="es-ES"/>
        </w:rPr>
        <w:t xml:space="preserve">Disponible en: </w:t>
      </w:r>
      <w:r w:rsidRPr="00AC69D7">
        <w:rPr>
          <w:i/>
          <w:iCs/>
          <w:lang w:val="es-ES"/>
        </w:rPr>
        <w:t>Statistics. Environment and Energy</w:t>
      </w:r>
      <w:r w:rsidRPr="00AC69D7">
        <w:rPr>
          <w:lang w:val="es-ES"/>
        </w:rPr>
        <w:t xml:space="preserve"> (varios documentos).</w:t>
      </w:r>
      <w:bookmarkEnd w:id="24"/>
    </w:p>
  </w:footnote>
  <w:footnote w:id="22">
    <w:p w14:paraId="194A17EC" w14:textId="13FCC32C" w:rsidR="007A54D4" w:rsidRPr="00D82E88" w:rsidRDefault="007A54D4" w:rsidP="007A54D4">
      <w:pPr>
        <w:pStyle w:val="Textonotapie"/>
        <w:rPr>
          <w:lang w:val="es-ES"/>
        </w:rPr>
      </w:pPr>
      <w:r>
        <w:rPr>
          <w:rStyle w:val="Refdenotaalpie"/>
        </w:rPr>
        <w:footnoteRef/>
      </w:r>
      <w:r w:rsidRPr="00AC69D7">
        <w:rPr>
          <w:lang w:val="en-US"/>
        </w:rPr>
        <w:t xml:space="preserve"> </w:t>
      </w:r>
      <w:bookmarkStart w:id="25" w:name="_Hlk144044853"/>
      <w:r w:rsidRPr="00AC69D7">
        <w:rPr>
          <w:lang w:val="en-US"/>
        </w:rPr>
        <w:t>Croatian Bureau of Statistics</w:t>
      </w:r>
      <w:bookmarkEnd w:id="25"/>
      <w:r w:rsidRPr="00AC69D7">
        <w:rPr>
          <w:lang w:val="en-US"/>
        </w:rPr>
        <w:t xml:space="preserve">. </w:t>
      </w:r>
      <w:r w:rsidRPr="00AC69D7">
        <w:rPr>
          <w:i/>
          <w:iCs/>
          <w:lang w:val="en-US"/>
        </w:rPr>
        <w:t>Public sewage system, 2022</w:t>
      </w:r>
      <w:r w:rsidRPr="00AC69D7">
        <w:rPr>
          <w:lang w:val="en-US"/>
        </w:rPr>
        <w:t xml:space="preserve">. </w:t>
      </w:r>
      <w:r w:rsidRPr="00D82E88">
        <w:rPr>
          <w:lang w:val="es-ES"/>
        </w:rPr>
        <w:t xml:space="preserve">Disponible en: </w:t>
      </w:r>
      <w:hyperlink r:id="rId20" w:history="1">
        <w:r w:rsidRPr="00D82E88">
          <w:rPr>
            <w:rStyle w:val="Hipervnculo"/>
            <w:sz w:val="16"/>
            <w:lang w:val="es-ES"/>
          </w:rPr>
          <w:t>https://podaci.dzs.hr/2023/en/58076</w:t>
        </w:r>
      </w:hyperlink>
      <w:r w:rsidRPr="00D82E88">
        <w:rPr>
          <w:lang w:val="es-ES"/>
        </w:rPr>
        <w:t xml:space="preserve"> [Últ</w:t>
      </w:r>
      <w:r w:rsidR="006D3C1D">
        <w:rPr>
          <w:lang w:val="es-ES"/>
        </w:rPr>
        <w:t>.</w:t>
      </w:r>
      <w:r w:rsidRPr="00D82E88">
        <w:rPr>
          <w:lang w:val="es-ES"/>
        </w:rPr>
        <w:t xml:space="preserve"> acceso: 7</w:t>
      </w:r>
      <w:r w:rsidR="006D3C1D">
        <w:rPr>
          <w:lang w:val="es-ES"/>
        </w:rPr>
        <w:t>/08/23</w:t>
      </w:r>
      <w:r>
        <w:rPr>
          <w:lang w:val="es-ES"/>
        </w:rPr>
        <w:t>].</w:t>
      </w:r>
    </w:p>
  </w:footnote>
  <w:footnote w:id="23">
    <w:p w14:paraId="4A847221" w14:textId="77777777" w:rsidR="007A54D4" w:rsidRPr="00570EAD" w:rsidRDefault="007A54D4" w:rsidP="007A54D4">
      <w:pPr>
        <w:pStyle w:val="Textonotapie"/>
        <w:rPr>
          <w:lang w:val="es-ES"/>
        </w:rPr>
      </w:pPr>
      <w:r>
        <w:rPr>
          <w:rStyle w:val="Refdenotaalpie"/>
        </w:rPr>
        <w:footnoteRef/>
      </w:r>
      <w:r w:rsidRPr="00570EAD">
        <w:rPr>
          <w:lang w:val="en-US"/>
        </w:rPr>
        <w:t xml:space="preserve"> UN-Water (United Nations). </w:t>
      </w:r>
      <w:r w:rsidRPr="0096385C">
        <w:rPr>
          <w:i/>
          <w:iCs/>
          <w:lang w:val="en-US"/>
        </w:rPr>
        <w:t>Croatia</w:t>
      </w:r>
      <w:r w:rsidRPr="00570EAD">
        <w:rPr>
          <w:lang w:val="en-US"/>
        </w:rPr>
        <w:t xml:space="preserve">. </w:t>
      </w:r>
      <w:r w:rsidRPr="00570EAD">
        <w:rPr>
          <w:lang w:val="es-ES"/>
        </w:rPr>
        <w:t xml:space="preserve">Disponible en: </w:t>
      </w:r>
      <w:hyperlink r:id="rId21" w:history="1">
        <w:r w:rsidRPr="00EB2B61">
          <w:rPr>
            <w:rStyle w:val="Hipervnculo"/>
            <w:sz w:val="16"/>
            <w:lang w:val="es-ES"/>
          </w:rPr>
          <w:t>https://sdg6data.org/en/country-or-area/Croatia</w:t>
        </w:r>
      </w:hyperlink>
      <w:r>
        <w:rPr>
          <w:lang w:val="es-ES"/>
        </w:rPr>
        <w:t xml:space="preserve"> </w:t>
      </w:r>
      <w:r w:rsidRPr="00570EAD">
        <w:rPr>
          <w:lang w:val="es-ES"/>
        </w:rPr>
        <w:t xml:space="preserve">[Últ. acceso: </w:t>
      </w:r>
      <w:r>
        <w:rPr>
          <w:lang w:val="es-ES"/>
        </w:rPr>
        <w:t>8</w:t>
      </w:r>
      <w:r w:rsidRPr="00570EAD">
        <w:rPr>
          <w:lang w:val="es-ES"/>
        </w:rPr>
        <w:t xml:space="preserve"> de agosto de 2023].</w:t>
      </w:r>
    </w:p>
  </w:footnote>
  <w:footnote w:id="24">
    <w:p w14:paraId="3DEE1BD9" w14:textId="77329F73" w:rsidR="00374463" w:rsidRPr="00374463" w:rsidRDefault="00374463">
      <w:pPr>
        <w:pStyle w:val="Textonotapie"/>
        <w:rPr>
          <w:lang w:val="es-ES"/>
        </w:rPr>
      </w:pPr>
      <w:r>
        <w:rPr>
          <w:rStyle w:val="Refdenotaalpie"/>
        </w:rPr>
        <w:footnoteRef/>
      </w:r>
      <w:r w:rsidRPr="00374463">
        <w:rPr>
          <w:lang w:val="en-US"/>
        </w:rPr>
        <w:t xml:space="preserve"> </w:t>
      </w:r>
      <w:r w:rsidRPr="00AC69D7">
        <w:rPr>
          <w:lang w:val="en-US"/>
        </w:rPr>
        <w:t xml:space="preserve">Croatian Bureau of Statistics. </w:t>
      </w:r>
      <w:r w:rsidRPr="00AC69D7">
        <w:rPr>
          <w:i/>
          <w:iCs/>
          <w:lang w:val="en-US"/>
        </w:rPr>
        <w:t>Public sewage system</w:t>
      </w:r>
      <w:r>
        <w:rPr>
          <w:lang w:val="en-US"/>
        </w:rPr>
        <w:t xml:space="preserve">. </w:t>
      </w:r>
      <w:r w:rsidRPr="00AC69D7">
        <w:rPr>
          <w:lang w:val="es-ES"/>
        </w:rPr>
        <w:t xml:space="preserve">Disponible en: </w:t>
      </w:r>
      <w:r w:rsidRPr="00AC69D7">
        <w:rPr>
          <w:i/>
          <w:iCs/>
          <w:lang w:val="es-ES"/>
        </w:rPr>
        <w:t>Statistics. Environment and Energy</w:t>
      </w:r>
      <w:r w:rsidRPr="00AC69D7">
        <w:rPr>
          <w:lang w:val="es-ES"/>
        </w:rPr>
        <w:t xml:space="preserve"> (varios documentos).</w:t>
      </w:r>
    </w:p>
  </w:footnote>
  <w:footnote w:id="25">
    <w:p w14:paraId="4F1F8446" w14:textId="087565CB" w:rsidR="00374463" w:rsidRPr="00374463" w:rsidRDefault="00374463">
      <w:pPr>
        <w:pStyle w:val="Textonotapie"/>
        <w:rPr>
          <w:lang w:val="es-ES"/>
        </w:rPr>
      </w:pPr>
      <w:r>
        <w:rPr>
          <w:rStyle w:val="Refdenotaalpie"/>
        </w:rPr>
        <w:footnoteRef/>
      </w:r>
      <w:r>
        <w:t xml:space="preserve"> </w:t>
      </w:r>
      <w:r>
        <w:rPr>
          <w:lang w:val="es-ES"/>
        </w:rPr>
        <w:t>Ibídem.</w:t>
      </w:r>
    </w:p>
  </w:footnote>
  <w:footnote w:id="26">
    <w:p w14:paraId="1FF67D70" w14:textId="6123EC20" w:rsidR="00AB6B13" w:rsidRPr="00AB6B13" w:rsidRDefault="00AB6B13">
      <w:pPr>
        <w:pStyle w:val="Textonotapie"/>
        <w:rPr>
          <w:lang w:val="es-ES"/>
        </w:rPr>
      </w:pPr>
      <w:r>
        <w:rPr>
          <w:rStyle w:val="Refdenotaalpie"/>
        </w:rPr>
        <w:footnoteRef/>
      </w:r>
      <w:r>
        <w:t xml:space="preserve"> </w:t>
      </w:r>
      <w:bookmarkStart w:id="27" w:name="_Hlk145937644"/>
      <w:r>
        <w:t xml:space="preserve">Para más información sobre su implementación consultar el siguiente </w:t>
      </w:r>
      <w:hyperlink r:id="rId22" w:history="1">
        <w:r w:rsidRPr="00AB6B13">
          <w:rPr>
            <w:rStyle w:val="Hipervnculo"/>
            <w:sz w:val="16"/>
          </w:rPr>
          <w:t>enlace</w:t>
        </w:r>
      </w:hyperlink>
      <w:r>
        <w:t>. [Último acceso: 26 de agosto de 2023].</w:t>
      </w:r>
      <w:bookmarkEnd w:id="27"/>
    </w:p>
  </w:footnote>
  <w:footnote w:id="27">
    <w:p w14:paraId="29759D79" w14:textId="77777777" w:rsidR="00757800" w:rsidRPr="009A475F" w:rsidRDefault="00757800" w:rsidP="00757800">
      <w:pPr>
        <w:pStyle w:val="Textonotapie"/>
        <w:rPr>
          <w:lang w:val="es-ES"/>
        </w:rPr>
      </w:pPr>
      <w:r>
        <w:rPr>
          <w:rStyle w:val="Refdenotaalpie"/>
        </w:rPr>
        <w:footnoteRef/>
      </w:r>
      <w:r>
        <w:t xml:space="preserve"> OECD. </w:t>
      </w:r>
      <w:r w:rsidRPr="00337977">
        <w:rPr>
          <w:i/>
          <w:iCs/>
        </w:rPr>
        <w:t>Croatia</w:t>
      </w:r>
      <w:r>
        <w:t xml:space="preserve">. Disponible en: </w:t>
      </w:r>
      <w:hyperlink r:id="rId23" w:history="1">
        <w:r w:rsidRPr="00965407">
          <w:rPr>
            <w:rStyle w:val="Hipervnculo"/>
            <w:sz w:val="16"/>
          </w:rPr>
          <w:t>https://www.oecd.org/environment/resources/financing-water-supply-sanitation-and-flood-protection-country-fact-sheet-croatia.pdf</w:t>
        </w:r>
      </w:hyperlink>
      <w:r>
        <w:t xml:space="preserve"> [Último acceso: 23 de agosto de 2023].</w:t>
      </w:r>
    </w:p>
  </w:footnote>
  <w:footnote w:id="28">
    <w:p w14:paraId="0B92066E" w14:textId="626B96D5" w:rsidR="00D400E9" w:rsidRPr="00D400E9" w:rsidRDefault="00D400E9">
      <w:pPr>
        <w:pStyle w:val="Textonotapie"/>
        <w:rPr>
          <w:lang w:val="es-ES"/>
        </w:rPr>
      </w:pPr>
      <w:r>
        <w:rPr>
          <w:rStyle w:val="Refdenotaalpie"/>
        </w:rPr>
        <w:footnoteRef/>
      </w:r>
      <w:r>
        <w:t xml:space="preserve"> OECD. </w:t>
      </w:r>
      <w:r w:rsidRPr="00337977">
        <w:rPr>
          <w:i/>
          <w:iCs/>
        </w:rPr>
        <w:t>Croatia</w:t>
      </w:r>
      <w:r>
        <w:t xml:space="preserve">. Disponible en: </w:t>
      </w:r>
      <w:hyperlink r:id="rId24" w:history="1">
        <w:r w:rsidRPr="00965407">
          <w:rPr>
            <w:rStyle w:val="Hipervnculo"/>
            <w:sz w:val="16"/>
          </w:rPr>
          <w:t>https://www.oecd.org/environment/resources/financing-water-supply-sanitation-and-flood-protection-country-fact-sheet-croatia.pdf</w:t>
        </w:r>
      </w:hyperlink>
      <w:r>
        <w:t xml:space="preserve"> [Último acceso: 27 de agosto de 2023].</w:t>
      </w:r>
    </w:p>
  </w:footnote>
  <w:footnote w:id="29">
    <w:p w14:paraId="4D8347C5" w14:textId="4EFB0BEA" w:rsidR="00832777" w:rsidRPr="00832777" w:rsidRDefault="00832777">
      <w:pPr>
        <w:pStyle w:val="Textonotapie"/>
        <w:rPr>
          <w:lang w:val="es-ES"/>
        </w:rPr>
      </w:pPr>
      <w:r>
        <w:rPr>
          <w:rStyle w:val="Refdenotaalpie"/>
        </w:rPr>
        <w:footnoteRef/>
      </w:r>
      <w:r w:rsidRPr="00293FC2">
        <w:rPr>
          <w:lang w:val="en-US"/>
        </w:rPr>
        <w:t xml:space="preserve"> Hrvatske Vode. </w:t>
      </w:r>
      <w:r w:rsidRPr="00293FC2">
        <w:rPr>
          <w:i/>
          <w:iCs/>
          <w:lang w:val="en-US"/>
        </w:rPr>
        <w:t>Flood Prevention Project</w:t>
      </w:r>
      <w:r w:rsidRPr="00293FC2">
        <w:rPr>
          <w:lang w:val="en-US"/>
        </w:rPr>
        <w:t xml:space="preserve">. </w:t>
      </w:r>
      <w:r w:rsidRPr="00832777">
        <w:rPr>
          <w:lang w:val="es-ES"/>
        </w:rPr>
        <w:t xml:space="preserve">Disponible en: </w:t>
      </w:r>
      <w:hyperlink r:id="rId25" w:history="1">
        <w:r w:rsidRPr="00FF1B2A">
          <w:rPr>
            <w:rStyle w:val="Hipervnculo"/>
            <w:sz w:val="16"/>
            <w:lang w:val="es-ES"/>
          </w:rPr>
          <w:t>https://voda.hr/en/financing-project-flood-protection</w:t>
        </w:r>
      </w:hyperlink>
      <w:r>
        <w:rPr>
          <w:lang w:val="es-ES"/>
        </w:rPr>
        <w:t xml:space="preserve"> [Último acceso: 27 de agosto de 2023].</w:t>
      </w:r>
    </w:p>
  </w:footnote>
  <w:footnote w:id="30">
    <w:p w14:paraId="079C7775" w14:textId="71634803" w:rsidR="00BE6DB2" w:rsidRPr="00633AD2" w:rsidRDefault="00BE6DB2">
      <w:pPr>
        <w:pStyle w:val="Textonotapie"/>
        <w:rPr>
          <w:lang w:val="es-ES"/>
        </w:rPr>
      </w:pPr>
      <w:r>
        <w:rPr>
          <w:rStyle w:val="Refdenotaalpie"/>
        </w:rPr>
        <w:footnoteRef/>
      </w:r>
      <w:r w:rsidRPr="00633AD2">
        <w:rPr>
          <w:lang w:val="en-US"/>
        </w:rPr>
        <w:t xml:space="preserve"> </w:t>
      </w:r>
      <w:bookmarkStart w:id="35" w:name="_Hlk144574663"/>
      <w:r w:rsidR="00633AD2" w:rsidRPr="00633AD2">
        <w:rPr>
          <w:lang w:val="en-US"/>
        </w:rPr>
        <w:t>European Structural and Investment Funds</w:t>
      </w:r>
      <w:bookmarkEnd w:id="35"/>
      <w:r w:rsidR="00633AD2" w:rsidRPr="00633AD2">
        <w:rPr>
          <w:lang w:val="en-US"/>
        </w:rPr>
        <w:t>.</w:t>
      </w:r>
      <w:r w:rsidR="00633AD2">
        <w:rPr>
          <w:lang w:val="en-US"/>
        </w:rPr>
        <w:t xml:space="preserve"> </w:t>
      </w:r>
      <w:r w:rsidR="00633AD2" w:rsidRPr="00633AD2">
        <w:rPr>
          <w:i/>
          <w:iCs/>
          <w:lang w:val="es-ES"/>
        </w:rPr>
        <w:t>EU funds 2021-2027</w:t>
      </w:r>
      <w:r w:rsidR="00633AD2" w:rsidRPr="00633AD2">
        <w:rPr>
          <w:lang w:val="es-ES"/>
        </w:rPr>
        <w:t xml:space="preserve">. Disponible en: </w:t>
      </w:r>
      <w:hyperlink r:id="rId26" w:history="1">
        <w:r w:rsidR="00633AD2" w:rsidRPr="009F0BBE">
          <w:rPr>
            <w:rStyle w:val="Hipervnculo"/>
            <w:sz w:val="16"/>
            <w:lang w:val="es-ES"/>
          </w:rPr>
          <w:t>https://strukturnifondovi.hr/en/eu-fondovi/eu-fondovi-2021-2027/</w:t>
        </w:r>
      </w:hyperlink>
      <w:r w:rsidR="00633AD2">
        <w:rPr>
          <w:lang w:val="es-ES"/>
        </w:rPr>
        <w:t xml:space="preserve"> [Último acceso: 1 de septiembre de 2023].</w:t>
      </w:r>
    </w:p>
  </w:footnote>
  <w:footnote w:id="31">
    <w:p w14:paraId="4C10D5E2" w14:textId="4264DB37" w:rsidR="00596A3A" w:rsidRPr="000E50C6" w:rsidRDefault="00596A3A">
      <w:pPr>
        <w:pStyle w:val="Textonotapie"/>
        <w:rPr>
          <w:lang w:val="en-US"/>
        </w:rPr>
      </w:pPr>
      <w:r>
        <w:rPr>
          <w:rStyle w:val="Refdenotaalpie"/>
        </w:rPr>
        <w:footnoteRef/>
      </w:r>
      <w:r w:rsidRPr="000E50C6">
        <w:rPr>
          <w:lang w:val="en-US"/>
        </w:rPr>
        <w:t xml:space="preserve"> Ibídem.</w:t>
      </w:r>
    </w:p>
  </w:footnote>
  <w:footnote w:id="32">
    <w:p w14:paraId="733B364C" w14:textId="038DC5A1" w:rsidR="0068459B" w:rsidRPr="00CE703A" w:rsidRDefault="0068459B">
      <w:pPr>
        <w:pStyle w:val="Textonotapie"/>
      </w:pPr>
      <w:r>
        <w:rPr>
          <w:rStyle w:val="Refdenotaalpie"/>
        </w:rPr>
        <w:footnoteRef/>
      </w:r>
      <w:r w:rsidRPr="00583DDF">
        <w:rPr>
          <w:lang w:val="en-US"/>
        </w:rPr>
        <w:t xml:space="preserve"> </w:t>
      </w:r>
      <w:bookmarkStart w:id="37" w:name="_Hlk145941511"/>
      <w:r w:rsidR="00583DDF" w:rsidRPr="00633AD2">
        <w:rPr>
          <w:lang w:val="en-US"/>
        </w:rPr>
        <w:t>European Structural and Investment Funds.</w:t>
      </w:r>
      <w:r w:rsidR="00583DDF">
        <w:rPr>
          <w:lang w:val="en-US"/>
        </w:rPr>
        <w:t xml:space="preserve"> </w:t>
      </w:r>
      <w:r w:rsidR="00583DDF" w:rsidRPr="00583DDF">
        <w:rPr>
          <w:i/>
          <w:iCs/>
          <w:lang w:val="es-ES"/>
        </w:rPr>
        <w:t>Competitiveness and Cohesion Program 2021-2027</w:t>
      </w:r>
      <w:r w:rsidR="00583DDF">
        <w:rPr>
          <w:lang w:val="es-ES"/>
        </w:rPr>
        <w:t>.</w:t>
      </w:r>
      <w:r w:rsidR="00CE703A" w:rsidRPr="00583DDF">
        <w:rPr>
          <w:lang w:val="es-ES"/>
        </w:rPr>
        <w:t xml:space="preserve"> </w:t>
      </w:r>
      <w:r w:rsidR="00CE703A">
        <w:rPr>
          <w:lang w:val="es-ES"/>
        </w:rPr>
        <w:t xml:space="preserve">Disponible en: </w:t>
      </w:r>
      <w:hyperlink r:id="rId27" w:history="1">
        <w:r w:rsidR="00CE703A" w:rsidRPr="00FB1191">
          <w:rPr>
            <w:rStyle w:val="Hipervnculo"/>
            <w:sz w:val="16"/>
            <w:lang w:val="es-ES"/>
          </w:rPr>
          <w:t>https://strukturnifondovi.hr/program-konkurentnost-i-kohezija-2021-2027/</w:t>
        </w:r>
      </w:hyperlink>
      <w:r w:rsidR="00CE703A">
        <w:rPr>
          <w:lang w:val="es-ES"/>
        </w:rPr>
        <w:t xml:space="preserve"> [Último acceso: 1 de septiembre de 2023].</w:t>
      </w:r>
      <w:bookmarkEnd w:id="37"/>
    </w:p>
  </w:footnote>
  <w:footnote w:id="33">
    <w:p w14:paraId="75FDED8F" w14:textId="77777777" w:rsidR="00650C04" w:rsidRPr="005E6306" w:rsidRDefault="00650C04" w:rsidP="00650C04">
      <w:pPr>
        <w:pStyle w:val="Textonotapie"/>
        <w:rPr>
          <w:lang w:val="es-ES"/>
        </w:rPr>
      </w:pPr>
      <w:r>
        <w:rPr>
          <w:rStyle w:val="Refdenotaalpie"/>
        </w:rPr>
        <w:footnoteRef/>
      </w:r>
      <w:r>
        <w:t xml:space="preserve"> </w:t>
      </w:r>
      <w:r>
        <w:rPr>
          <w:lang w:val="es-ES"/>
        </w:rPr>
        <w:t xml:space="preserve">Comisión Europea. </w:t>
      </w:r>
      <w:r w:rsidRPr="000E50C6">
        <w:rPr>
          <w:i/>
          <w:iCs/>
          <w:lang w:val="es-ES"/>
        </w:rPr>
        <w:t>At a glance: Croatia’s CAP Strategic Plan</w:t>
      </w:r>
      <w:r w:rsidRPr="000E50C6">
        <w:rPr>
          <w:lang w:val="es-ES"/>
        </w:rPr>
        <w:t xml:space="preserve">. </w:t>
      </w:r>
      <w:r w:rsidRPr="005E6306">
        <w:rPr>
          <w:lang w:val="es-ES"/>
        </w:rPr>
        <w:t xml:space="preserve">Disponible en: </w:t>
      </w:r>
      <w:hyperlink r:id="rId28" w:history="1">
        <w:r w:rsidRPr="005E6306">
          <w:rPr>
            <w:rStyle w:val="Hipervnculo"/>
            <w:sz w:val="16"/>
            <w:lang w:val="es-ES"/>
          </w:rPr>
          <w:t>https://agriculture.ec.europa.eu/system/files/2023-04/csp-at-a-glance-croatia_en.pdf</w:t>
        </w:r>
      </w:hyperlink>
      <w:r w:rsidRPr="005E6306">
        <w:rPr>
          <w:lang w:val="es-ES"/>
        </w:rPr>
        <w:t xml:space="preserve"> </w:t>
      </w:r>
      <w:r>
        <w:rPr>
          <w:lang w:val="es-ES"/>
        </w:rPr>
        <w:t>[Último acceso: 1 de septiembre de 2023].</w:t>
      </w:r>
    </w:p>
  </w:footnote>
  <w:footnote w:id="34">
    <w:p w14:paraId="2F777E18" w14:textId="77777777" w:rsidR="00650C04" w:rsidRPr="000E50C6" w:rsidRDefault="00650C04">
      <w:pPr>
        <w:pStyle w:val="Textonotapie"/>
        <w:rPr>
          <w:lang w:val="es-ES"/>
        </w:rPr>
      </w:pPr>
      <w:r>
        <w:rPr>
          <w:rStyle w:val="Refdenotaalpie"/>
        </w:rPr>
        <w:footnoteRef/>
      </w:r>
      <w:r w:rsidRPr="000E50C6">
        <w:rPr>
          <w:lang w:val="es-ES"/>
        </w:rPr>
        <w:t xml:space="preserve"> Comisión Europea. </w:t>
      </w:r>
      <w:r w:rsidRPr="000E50C6">
        <w:rPr>
          <w:i/>
          <w:iCs/>
          <w:lang w:val="es-ES"/>
        </w:rPr>
        <w:t>Chart to indicator mapping</w:t>
      </w:r>
      <w:r w:rsidRPr="000E50C6">
        <w:rPr>
          <w:lang w:val="es-ES"/>
        </w:rPr>
        <w:t xml:space="preserve">. </w:t>
      </w:r>
    </w:p>
    <w:p w14:paraId="405FE0F2" w14:textId="17E7B781" w:rsidR="00650C04" w:rsidRPr="00650C04" w:rsidRDefault="00650C04">
      <w:pPr>
        <w:pStyle w:val="Textonotapie"/>
        <w:rPr>
          <w:lang w:val="es-ES"/>
        </w:rPr>
      </w:pPr>
      <w:r w:rsidRPr="00650C04">
        <w:rPr>
          <w:lang w:val="es-ES"/>
        </w:rPr>
        <w:t xml:space="preserve">Disponible en: </w:t>
      </w:r>
      <w:hyperlink r:id="rId29" w:history="1">
        <w:r w:rsidRPr="00650C04">
          <w:rPr>
            <w:rStyle w:val="Hipervnculo"/>
            <w:sz w:val="16"/>
            <w:lang w:val="es-ES"/>
          </w:rPr>
          <w:t>https://agridata.ec.europa.eu/extensions/DataPortal/indicator_mapping.html</w:t>
        </w:r>
      </w:hyperlink>
      <w:r w:rsidRPr="00650C04">
        <w:rPr>
          <w:lang w:val="es-ES"/>
        </w:rPr>
        <w:t xml:space="preserve"> </w:t>
      </w:r>
      <w:r>
        <w:t>[Último acceso: 1 de septiembre de 2023].</w:t>
      </w:r>
    </w:p>
  </w:footnote>
  <w:footnote w:id="35">
    <w:p w14:paraId="6C333189" w14:textId="57A97C64" w:rsidR="00F10709" w:rsidRPr="00F10709" w:rsidRDefault="00F10709">
      <w:pPr>
        <w:pStyle w:val="Textonotapie"/>
      </w:pPr>
      <w:r>
        <w:rPr>
          <w:rStyle w:val="Refdenotaalpie"/>
        </w:rPr>
        <w:footnoteRef/>
      </w:r>
      <w:r>
        <w:t xml:space="preserve"> </w:t>
      </w:r>
      <w:r w:rsidRPr="002B1A60">
        <w:rPr>
          <w:bCs/>
          <w:color w:val="auto"/>
        </w:rPr>
        <w:t xml:space="preserve">La lista de proyectos aprobados se puede encontrar en el siguiente </w:t>
      </w:r>
      <w:hyperlink r:id="rId30" w:history="1">
        <w:r w:rsidRPr="00090F00">
          <w:rPr>
            <w:rStyle w:val="Hipervnculo"/>
            <w:bCs/>
            <w:sz w:val="16"/>
            <w:szCs w:val="16"/>
          </w:rPr>
          <w:t>enlace</w:t>
        </w:r>
      </w:hyperlink>
      <w:r w:rsidRPr="00090F00">
        <w:rPr>
          <w:bCs/>
          <w:color w:val="auto"/>
          <w:szCs w:val="16"/>
        </w:rPr>
        <w:t xml:space="preserve"> </w:t>
      </w:r>
      <w:r>
        <w:rPr>
          <w:bCs/>
          <w:color w:val="auto"/>
        </w:rPr>
        <w:t>(solamente disponible en croata). [Último acceso: 1 de septiembre de 2023].</w:t>
      </w:r>
    </w:p>
  </w:footnote>
  <w:footnote w:id="36">
    <w:p w14:paraId="086E5DAE" w14:textId="77777777" w:rsidR="004E3BCC" w:rsidRPr="009F24F2" w:rsidRDefault="004E3BCC" w:rsidP="004E3BCC">
      <w:pPr>
        <w:pStyle w:val="Textonotapie"/>
      </w:pPr>
      <w:r>
        <w:rPr>
          <w:rStyle w:val="Refdenotaalpie"/>
        </w:rPr>
        <w:footnoteRef/>
      </w:r>
      <w:r>
        <w:t xml:space="preserve"> Todas ellas son </w:t>
      </w:r>
      <w:r w:rsidRPr="009F24F2">
        <w:t>proveedores públicos de servicios de agua que ofrecen suministro público de agua y servicios de alcantarillado de aguas residuales en el territorio de la República de Croacia.</w:t>
      </w:r>
    </w:p>
  </w:footnote>
  <w:footnote w:id="37">
    <w:p w14:paraId="0D0C893F" w14:textId="77777777" w:rsidR="004E3BCC" w:rsidRPr="00FA629D" w:rsidRDefault="004E3BCC" w:rsidP="004E3BCC">
      <w:pPr>
        <w:pStyle w:val="Textonotapie"/>
        <w:rPr>
          <w:lang w:val="es-ES"/>
        </w:rPr>
      </w:pPr>
      <w:r>
        <w:rPr>
          <w:rStyle w:val="Refdenotaalpie"/>
        </w:rPr>
        <w:footnoteRef/>
      </w:r>
      <w:r>
        <w:t xml:space="preserve"> </w:t>
      </w:r>
      <w:r>
        <w:rPr>
          <w:lang w:val="es-ES"/>
        </w:rPr>
        <w:t xml:space="preserve">Ministerio de Economía y Desarrollo Sostenible de la República de Croacia. </w:t>
      </w:r>
      <w:r w:rsidRPr="00811011">
        <w:rPr>
          <w:i/>
          <w:iCs/>
          <w:lang w:val="es-ES"/>
        </w:rPr>
        <w:t xml:space="preserve">Open </w:t>
      </w:r>
      <w:proofErr w:type="spellStart"/>
      <w:r w:rsidRPr="00811011">
        <w:rPr>
          <w:i/>
          <w:iCs/>
          <w:lang w:val="es-ES"/>
        </w:rPr>
        <w:t>public</w:t>
      </w:r>
      <w:proofErr w:type="spellEnd"/>
      <w:r w:rsidRPr="00811011">
        <w:rPr>
          <w:i/>
          <w:iCs/>
          <w:lang w:val="es-ES"/>
        </w:rPr>
        <w:t xml:space="preserve"> </w:t>
      </w:r>
      <w:proofErr w:type="spellStart"/>
      <w:r w:rsidRPr="00811011">
        <w:rPr>
          <w:i/>
          <w:iCs/>
          <w:lang w:val="es-ES"/>
        </w:rPr>
        <w:t>calls</w:t>
      </w:r>
      <w:proofErr w:type="spellEnd"/>
      <w:r w:rsidRPr="00811011">
        <w:rPr>
          <w:i/>
          <w:iCs/>
          <w:lang w:val="es-ES"/>
        </w:rPr>
        <w:t xml:space="preserve"> and </w:t>
      </w:r>
      <w:proofErr w:type="spellStart"/>
      <w:r w:rsidRPr="00811011">
        <w:rPr>
          <w:i/>
          <w:iCs/>
          <w:lang w:val="es-ES"/>
        </w:rPr>
        <w:t>tenders</w:t>
      </w:r>
      <w:proofErr w:type="spellEnd"/>
      <w:r w:rsidRPr="00811011">
        <w:rPr>
          <w:i/>
          <w:iCs/>
          <w:lang w:val="es-ES"/>
        </w:rPr>
        <w:t xml:space="preserve"> (11.7.2023.)</w:t>
      </w:r>
      <w:r w:rsidRPr="00A27712">
        <w:rPr>
          <w:lang w:val="es-ES"/>
        </w:rPr>
        <w:t xml:space="preserve">. </w:t>
      </w:r>
      <w:r w:rsidRPr="00FA629D">
        <w:rPr>
          <w:lang w:val="es-ES"/>
        </w:rPr>
        <w:t xml:space="preserve">Disponible en: </w:t>
      </w:r>
      <w:hyperlink r:id="rId31" w:history="1">
        <w:r w:rsidRPr="009F5C44">
          <w:rPr>
            <w:rStyle w:val="Hipervnculo"/>
            <w:sz w:val="16"/>
            <w:lang w:val="es-ES"/>
          </w:rPr>
          <w:t>https://mingor.gov.hr/javni-pozivi-i-natjecaji-7371/javni-pozivi-i-natjecaji-ministarstva/otvoreni-javni-pozivi-i-natjecaji/7390</w:t>
        </w:r>
      </w:hyperlink>
      <w:r>
        <w:rPr>
          <w:lang w:val="es-ES"/>
        </w:rPr>
        <w:t xml:space="preserve"> [Último acceso: 1 de septiembre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D0DF" w14:textId="31E3F27F" w:rsidR="005366F6" w:rsidRDefault="005366F6">
    <w:pPr>
      <w:pStyle w:val="Encabezado"/>
    </w:pPr>
    <w:r>
      <w:rPr>
        <w:noProof/>
        <w:lang w:eastAsia="es-ES_tradnl"/>
      </w:rPr>
      <mc:AlternateContent>
        <mc:Choice Requires="wps">
          <w:drawing>
            <wp:anchor distT="0" distB="0" distL="114300" distR="114300" simplePos="0" relativeHeight="251695104" behindDoc="0" locked="1" layoutInCell="1" allowOverlap="1" wp14:anchorId="10DAC8E8" wp14:editId="213607CE">
              <wp:simplePos x="0" y="0"/>
              <wp:positionH relativeFrom="margin">
                <wp:posOffset>713105</wp:posOffset>
              </wp:positionH>
              <wp:positionV relativeFrom="page">
                <wp:posOffset>612140</wp:posOffset>
              </wp:positionV>
              <wp:extent cx="5504400" cy="547200"/>
              <wp:effectExtent l="0" t="0" r="7620" b="12065"/>
              <wp:wrapNone/>
              <wp:docPr id="16" name="Cuadro de texto 16"/>
              <wp:cNvGraphicFramePr/>
              <a:graphic xmlns:a="http://schemas.openxmlformats.org/drawingml/2006/main">
                <a:graphicData uri="http://schemas.microsoft.com/office/word/2010/wordprocessingShape">
                  <wps:wsp>
                    <wps:cNvSpPr txBox="1"/>
                    <wps:spPr>
                      <a:xfrm>
                        <a:off x="0" y="0"/>
                        <a:ext cx="5504400" cy="54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EFA044" w14:textId="3A3F6C28" w:rsidR="005366F6" w:rsidRPr="003873A0" w:rsidRDefault="005366F6" w:rsidP="003873A0">
                          <w:pPr>
                            <w:pStyle w:val="CintilloNegro"/>
                          </w:pPr>
                          <w:r w:rsidRPr="003873A0">
                            <w:t>EL MERCADO DE</w:t>
                          </w:r>
                          <w:r>
                            <w:t xml:space="preserve">l agua </w:t>
                          </w:r>
                          <w:r w:rsidRPr="003873A0">
                            <w:t>EN</w:t>
                          </w:r>
                          <w:r>
                            <w:t xml:space="preserve"> </w:t>
                          </w:r>
                          <w:r w:rsidRPr="00294341">
                            <w:rPr>
                              <w:b/>
                              <w:bCs/>
                            </w:rPr>
                            <w:t>croacia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AC8E8" id="_x0000_t202" coordsize="21600,21600" o:spt="202" path="m,l,21600r21600,l21600,xe">
              <v:stroke joinstyle="miter"/>
              <v:path gradientshapeok="t" o:connecttype="rect"/>
            </v:shapetype>
            <v:shape id="Cuadro de texto 16" o:spid="_x0000_s1030" type="#_x0000_t202" style="position:absolute;left:0;text-align:left;margin-left:56.15pt;margin-top:48.2pt;width:433.4pt;height:43.1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" filled="f" stroked="f">
              <v:textbox inset="0,0,0,0">
                <w:txbxContent>
                  <w:p w14:paraId="06EFA044" w14:textId="3A3F6C28" w:rsidR="005366F6" w:rsidRPr="003873A0" w:rsidRDefault="005366F6" w:rsidP="003873A0">
                    <w:pPr>
                      <w:pStyle w:val="CintilloNegro"/>
                    </w:pPr>
                    <w:r w:rsidRPr="003873A0">
                      <w:t>EL MERCADO DE</w:t>
                    </w:r>
                    <w:r>
                      <w:t xml:space="preserve">l agua </w:t>
                    </w:r>
                    <w:r w:rsidRPr="003873A0">
                      <w:t>EN</w:t>
                    </w:r>
                    <w:r>
                      <w:t xml:space="preserve"> </w:t>
                    </w:r>
                    <w:r w:rsidRPr="00294341">
                      <w:rPr>
                        <w:b/>
                        <w:bCs/>
                      </w:rPr>
                      <w:t>croacia</w:t>
                    </w:r>
                  </w:p>
                </w:txbxContent>
              </v:textbox>
              <w10:wrap anchorx="margin" anchory="page"/>
              <w10:anchorlock/>
            </v:shape>
          </w:pict>
        </mc:Fallback>
      </mc:AlternateContent>
    </w:r>
    <w:r>
      <w:rPr>
        <w:noProof/>
        <w:lang w:eastAsia="es-ES_tradnl"/>
      </w:rPr>
      <w:drawing>
        <wp:anchor distT="0" distB="0" distL="114300" distR="114300" simplePos="0" relativeHeight="251693056" behindDoc="1" locked="0" layoutInCell="1" allowOverlap="1" wp14:anchorId="0F172105" wp14:editId="22726EF2">
          <wp:simplePos x="0" y="0"/>
          <wp:positionH relativeFrom="page">
            <wp:posOffset>0</wp:posOffset>
          </wp:positionH>
          <wp:positionV relativeFrom="page">
            <wp:posOffset>0</wp:posOffset>
          </wp:positionV>
          <wp:extent cx="7560000" cy="10696403"/>
          <wp:effectExtent l="0" t="0" r="9525" b="0"/>
          <wp:wrapNone/>
          <wp:docPr id="13" name="Imagen 13" descr="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64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D0AE" w14:textId="487A0E2E" w:rsidR="005366F6" w:rsidRDefault="005366F6">
    <w:pPr>
      <w:pStyle w:val="Encabezado"/>
    </w:pPr>
    <w:r>
      <w:rPr>
        <w:noProof/>
        <w:lang w:eastAsia="es-ES_tradnl"/>
      </w:rPr>
      <w:drawing>
        <wp:anchor distT="0" distB="0" distL="114300" distR="114300" simplePos="0" relativeHeight="251680768" behindDoc="0" locked="0" layoutInCell="1" allowOverlap="1" wp14:anchorId="0D7ED23B" wp14:editId="2DC21D43">
          <wp:simplePos x="0" y="0"/>
          <wp:positionH relativeFrom="page">
            <wp:posOffset>0</wp:posOffset>
          </wp:positionH>
          <wp:positionV relativeFrom="page">
            <wp:posOffset>2224</wp:posOffset>
          </wp:positionV>
          <wp:extent cx="7560000" cy="10698352"/>
          <wp:effectExtent l="0" t="0" r="9525" b="0"/>
          <wp:wrapNone/>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83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905F" w14:textId="48ABCAB2" w:rsidR="005366F6" w:rsidRDefault="005366F6">
    <w:pPr>
      <w:pStyle w:val="Encabezado"/>
    </w:pPr>
    <w:r>
      <w:rPr>
        <w:noProof/>
        <w:lang w:eastAsia="es-ES_tradnl"/>
      </w:rPr>
      <w:drawing>
        <wp:anchor distT="0" distB="0" distL="114300" distR="114300" simplePos="0" relativeHeight="251681792" behindDoc="1" locked="0" layoutInCell="1" allowOverlap="1" wp14:anchorId="018BFCBD" wp14:editId="1D46A217">
          <wp:simplePos x="0" y="0"/>
          <wp:positionH relativeFrom="page">
            <wp:posOffset>0</wp:posOffset>
          </wp:positionH>
          <wp:positionV relativeFrom="page">
            <wp:posOffset>0</wp:posOffset>
          </wp:positionV>
          <wp:extent cx="7550421" cy="10684798"/>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421" cy="106847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02B7" w14:textId="77777777" w:rsidR="005366F6" w:rsidRPr="00923254" w:rsidRDefault="005366F6" w:rsidP="00944001">
    <w:pPr>
      <w:pStyle w:val="Encabezado"/>
      <w:tabs>
        <w:tab w:val="clear" w:pos="4252"/>
        <w:tab w:val="clear" w:pos="8504"/>
        <w:tab w:val="left" w:pos="1111"/>
      </w:tabs>
    </w:pPr>
    <w:r>
      <w:rPr>
        <w:noProof/>
        <w:lang w:eastAsia="es-ES_tradnl"/>
      </w:rPr>
      <w:drawing>
        <wp:anchor distT="0" distB="0" distL="114300" distR="114300" simplePos="0" relativeHeight="251698176" behindDoc="1" locked="0" layoutInCell="1" allowOverlap="1" wp14:anchorId="24DC9A2A" wp14:editId="3E12F11C">
          <wp:simplePos x="0" y="0"/>
          <wp:positionH relativeFrom="page">
            <wp:posOffset>0</wp:posOffset>
          </wp:positionH>
          <wp:positionV relativeFrom="page">
            <wp:posOffset>0</wp:posOffset>
          </wp:positionV>
          <wp:extent cx="7560000" cy="10696403"/>
          <wp:effectExtent l="0" t="0" r="9525" b="0"/>
          <wp:wrapNone/>
          <wp:docPr id="33" name="Imagen 33" descr="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64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_tradnl"/>
      </w:rPr>
      <mc:AlternateContent>
        <mc:Choice Requires="wps">
          <w:drawing>
            <wp:anchor distT="0" distB="0" distL="114300" distR="114300" simplePos="0" relativeHeight="251697152" behindDoc="0" locked="1" layoutInCell="1" allowOverlap="1" wp14:anchorId="77B88D52" wp14:editId="7E126DEF">
              <wp:simplePos x="0" y="0"/>
              <wp:positionH relativeFrom="margin">
                <wp:posOffset>2540</wp:posOffset>
              </wp:positionH>
              <wp:positionV relativeFrom="page">
                <wp:posOffset>642620</wp:posOffset>
              </wp:positionV>
              <wp:extent cx="5504180" cy="546735"/>
              <wp:effectExtent l="0" t="0" r="7620" b="12065"/>
              <wp:wrapNone/>
              <wp:docPr id="2" name="Cuadro de texto 2"/>
              <wp:cNvGraphicFramePr/>
              <a:graphic xmlns:a="http://schemas.openxmlformats.org/drawingml/2006/main">
                <a:graphicData uri="http://schemas.microsoft.com/office/word/2010/wordprocessingShape">
                  <wps:wsp>
                    <wps:cNvSpPr txBox="1"/>
                    <wps:spPr>
                      <a:xfrm>
                        <a:off x="0" y="0"/>
                        <a:ext cx="5504180" cy="5467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54348" w14:textId="77777777" w:rsidR="005366F6" w:rsidRPr="002055A5" w:rsidRDefault="005366F6" w:rsidP="003873A0">
                          <w:pPr>
                            <w:pStyle w:val="CintilloNegro"/>
                          </w:pPr>
                          <w:r w:rsidRPr="002055A5">
                            <w:t>EL MERCADO DE [SECTOR] EN [</w:t>
                          </w:r>
                          <w:r w:rsidRPr="002055A5">
                            <w:rPr>
                              <w:b/>
                            </w:rPr>
                            <w:t>PAÍS</w:t>
                          </w:r>
                          <w:r w:rsidRPr="002055A5">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88D52" id="_x0000_t202" coordsize="21600,21600" o:spt="202" path="m,l,21600r21600,l21600,xe">
              <v:stroke joinstyle="miter"/>
              <v:path gradientshapeok="t" o:connecttype="rect"/>
            </v:shapetype>
            <v:shape id="Cuadro de texto 2" o:spid="_x0000_s1032" type="#_x0000_t202" style="position:absolute;left:0;text-align:left;margin-left:.2pt;margin-top:50.6pt;width:433.4pt;height:43.0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" filled="f" stroked="f">
              <v:textbox inset="0,0,0,0">
                <w:txbxContent>
                  <w:p w14:paraId="46E54348" w14:textId="77777777" w:rsidR="005366F6" w:rsidRPr="002055A5" w:rsidRDefault="005366F6" w:rsidP="003873A0">
                    <w:pPr>
                      <w:pStyle w:val="CintilloNegro"/>
                    </w:pPr>
                    <w:r w:rsidRPr="002055A5">
                      <w:t>EL MERCADO DE [SECTOR] EN [</w:t>
                    </w:r>
                    <w:r w:rsidRPr="002055A5">
                      <w:rPr>
                        <w:b/>
                      </w:rPr>
                      <w:t>PAÍS</w:t>
                    </w:r>
                    <w:r w:rsidRPr="002055A5">
                      <w:t>]</w:t>
                    </w:r>
                  </w:p>
                </w:txbxContent>
              </v:textbox>
              <w10:wrap anchorx="margin" anchory="page"/>
              <w10:anchorlock/>
            </v:shape>
          </w:pict>
        </mc:Fallback>
      </mc:AlternateConten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8F86" w14:textId="77777777" w:rsidR="005366F6" w:rsidRDefault="005366F6">
    <w:pPr>
      <w:pStyle w:val="Encabezado"/>
    </w:pPr>
    <w:r>
      <w:rPr>
        <w:noProof/>
        <w:lang w:eastAsia="es-ES_tradnl"/>
      </w:rPr>
      <w:drawing>
        <wp:anchor distT="0" distB="0" distL="114300" distR="114300" simplePos="0" relativeHeight="251707392" behindDoc="1" locked="0" layoutInCell="1" allowOverlap="1" wp14:anchorId="25E35036" wp14:editId="1C88F64B">
          <wp:simplePos x="0" y="0"/>
          <wp:positionH relativeFrom="page">
            <wp:posOffset>689</wp:posOffset>
          </wp:positionH>
          <wp:positionV relativeFrom="page">
            <wp:posOffset>0</wp:posOffset>
          </wp:positionV>
          <wp:extent cx="7558622" cy="10696403"/>
          <wp:effectExtent l="0" t="0" r="1079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622" cy="106964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4FE5" w14:textId="77777777" w:rsidR="005366F6" w:rsidRPr="00923254" w:rsidRDefault="005366F6" w:rsidP="00944001">
    <w:pPr>
      <w:pStyle w:val="Encabezado"/>
      <w:tabs>
        <w:tab w:val="clear" w:pos="4252"/>
        <w:tab w:val="clear" w:pos="8504"/>
        <w:tab w:val="left" w:pos="1111"/>
      </w:tabs>
    </w:pPr>
    <w:r>
      <w:rPr>
        <w:noProof/>
        <w:lang w:eastAsia="es-ES_tradnl"/>
      </w:rPr>
      <w:drawing>
        <wp:anchor distT="0" distB="0" distL="114300" distR="114300" simplePos="0" relativeHeight="251706368" behindDoc="1" locked="0" layoutInCell="1" allowOverlap="1" wp14:anchorId="4D5D6A72" wp14:editId="13C97108">
          <wp:simplePos x="0" y="0"/>
          <wp:positionH relativeFrom="page">
            <wp:posOffset>0</wp:posOffset>
          </wp:positionH>
          <wp:positionV relativeFrom="page">
            <wp:posOffset>0</wp:posOffset>
          </wp:positionV>
          <wp:extent cx="7560000" cy="10696403"/>
          <wp:effectExtent l="0" t="0" r="9525" b="0"/>
          <wp:wrapNone/>
          <wp:docPr id="17" name="Imagen 17" descr="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64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_tradnl"/>
      </w:rPr>
      <mc:AlternateContent>
        <mc:Choice Requires="wps">
          <w:drawing>
            <wp:anchor distT="0" distB="0" distL="114300" distR="114300" simplePos="0" relativeHeight="251704320" behindDoc="0" locked="1" layoutInCell="1" allowOverlap="1" wp14:anchorId="3201FCAD" wp14:editId="1147383D">
              <wp:simplePos x="0" y="0"/>
              <wp:positionH relativeFrom="margin">
                <wp:posOffset>2540</wp:posOffset>
              </wp:positionH>
              <wp:positionV relativeFrom="page">
                <wp:posOffset>642620</wp:posOffset>
              </wp:positionV>
              <wp:extent cx="5504180" cy="546735"/>
              <wp:effectExtent l="0" t="0" r="7620" b="12065"/>
              <wp:wrapNone/>
              <wp:docPr id="3" name="Cuadro de texto 3"/>
              <wp:cNvGraphicFramePr/>
              <a:graphic xmlns:a="http://schemas.openxmlformats.org/drawingml/2006/main">
                <a:graphicData uri="http://schemas.microsoft.com/office/word/2010/wordprocessingShape">
                  <wps:wsp>
                    <wps:cNvSpPr txBox="1"/>
                    <wps:spPr>
                      <a:xfrm>
                        <a:off x="0" y="0"/>
                        <a:ext cx="5504180" cy="5467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784EC1" w14:textId="77777777" w:rsidR="005366F6" w:rsidRPr="002055A5" w:rsidRDefault="005366F6" w:rsidP="003873A0">
                          <w:pPr>
                            <w:pStyle w:val="CintilloNegro"/>
                          </w:pPr>
                          <w:r w:rsidRPr="002055A5">
                            <w:t>EL MERCADO DE [SECTOR] EN [</w:t>
                          </w:r>
                          <w:r w:rsidRPr="002055A5">
                            <w:rPr>
                              <w:b/>
                            </w:rPr>
                            <w:t>PAÍS</w:t>
                          </w:r>
                          <w:r w:rsidRPr="002055A5">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1FCAD" id="_x0000_t202" coordsize="21600,21600" o:spt="202" path="m,l,21600r21600,l21600,xe">
              <v:stroke joinstyle="miter"/>
              <v:path gradientshapeok="t" o:connecttype="rect"/>
            </v:shapetype>
            <v:shape id="Cuadro de texto 3" o:spid="_x0000_s1033" type="#_x0000_t202" style="position:absolute;left:0;text-align:left;margin-left:.2pt;margin-top:50.6pt;width:433.4pt;height:43.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" filled="f" stroked="f">
              <v:textbox inset="0,0,0,0">
                <w:txbxContent>
                  <w:p w14:paraId="0E784EC1" w14:textId="77777777" w:rsidR="005366F6" w:rsidRPr="002055A5" w:rsidRDefault="005366F6" w:rsidP="003873A0">
                    <w:pPr>
                      <w:pStyle w:val="CintilloNegro"/>
                    </w:pPr>
                    <w:r w:rsidRPr="002055A5">
                      <w:t>EL MERCADO DE [SECTOR] EN [</w:t>
                    </w:r>
                    <w:r w:rsidRPr="002055A5">
                      <w:rPr>
                        <w:b/>
                      </w:rPr>
                      <w:t>PAÍS</w:t>
                    </w:r>
                    <w:r w:rsidRPr="002055A5">
                      <w:t>]</w:t>
                    </w:r>
                  </w:p>
                </w:txbxContent>
              </v:textbox>
              <w10:wrap anchorx="margin" anchory="page"/>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600"/>
    <w:multiLevelType w:val="hybridMultilevel"/>
    <w:tmpl w:val="63F66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3A049D"/>
    <w:multiLevelType w:val="hybridMultilevel"/>
    <w:tmpl w:val="38EC3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4B32C4"/>
    <w:multiLevelType w:val="hybridMultilevel"/>
    <w:tmpl w:val="80A6C8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3104A4"/>
    <w:multiLevelType w:val="hybridMultilevel"/>
    <w:tmpl w:val="8090B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E51B04"/>
    <w:multiLevelType w:val="multilevel"/>
    <w:tmpl w:val="FEEC61AC"/>
    <w:lvl w:ilvl="0">
      <w:start w:val="1"/>
      <w:numFmt w:val="decimal"/>
      <w:pStyle w:val="Ttulo1"/>
      <w:suff w:val="space"/>
      <w:lvlText w:val="%1."/>
      <w:lvlJc w:val="left"/>
      <w:pPr>
        <w:ind w:left="5670" w:firstLine="0"/>
      </w:pPr>
      <w:rPr>
        <w:rFonts w:ascii="Arial" w:hAnsi="Arial" w:hint="default"/>
        <w:b w:val="0"/>
        <w:i w:val="0"/>
        <w:caps w:val="0"/>
        <w:strike w:val="0"/>
        <w:dstrike w:val="0"/>
        <w:vanish w:val="0"/>
        <w:color w:val="E2231A"/>
        <w:spacing w:val="0"/>
        <w:w w:val="100"/>
        <w:kern w:val="0"/>
        <w:position w:val="0"/>
        <w:sz w:val="52"/>
        <w:u w:val="none"/>
        <w:vertAlign w:val="baseline"/>
        <w14:ligatures w14:val="none"/>
        <w14:numForm w14:val="default"/>
        <w14:numSpacing w14:val="default"/>
        <w14:stylisticSets/>
      </w:rPr>
    </w:lvl>
    <w:lvl w:ilvl="1">
      <w:start w:val="1"/>
      <w:numFmt w:val="decimal"/>
      <w:pStyle w:val="Ttulo2"/>
      <w:suff w:val="space"/>
      <w:lvlText w:val="%1.%2."/>
      <w:lvlJc w:val="left"/>
      <w:pPr>
        <w:ind w:left="0" w:firstLine="0"/>
      </w:pPr>
      <w:rPr>
        <w:rFonts w:asciiTheme="majorHAnsi" w:hAnsiTheme="majorHAnsi" w:hint="default"/>
        <w:b/>
        <w:i w:val="0"/>
        <w:caps/>
        <w:strike w:val="0"/>
        <w:dstrike w:val="0"/>
        <w:vanish w:val="0"/>
        <w:color w:val="E2231A"/>
        <w:sz w:val="32"/>
        <w:u w:val="none"/>
        <w:vertAlign w:val="baseline"/>
      </w:rPr>
    </w:lvl>
    <w:lvl w:ilvl="2">
      <w:start w:val="1"/>
      <w:numFmt w:val="decimal"/>
      <w:pStyle w:val="Ttulo3"/>
      <w:suff w:val="space"/>
      <w:lvlText w:val="%1.%2.%3."/>
      <w:lvlJc w:val="left"/>
      <w:pPr>
        <w:ind w:left="3544" w:firstLine="0"/>
      </w:pPr>
      <w:rPr>
        <w:rFonts w:ascii="Arial" w:hAnsi="Arial" w:hint="default"/>
        <w:b w:val="0"/>
        <w:i w:val="0"/>
        <w:caps w:val="0"/>
        <w:strike w:val="0"/>
        <w:dstrike w:val="0"/>
        <w:vanish w:val="0"/>
        <w:color w:val="5E5E5E"/>
        <w:sz w:val="32"/>
        <w:vertAlign w:val="baseline"/>
      </w:rPr>
    </w:lvl>
    <w:lvl w:ilvl="3">
      <w:start w:val="1"/>
      <w:numFmt w:val="decimal"/>
      <w:lvlText w:val="%1.%2.%3.%4."/>
      <w:lvlJc w:val="left"/>
      <w:pPr>
        <w:ind w:left="1725" w:hanging="648"/>
      </w:pPr>
      <w:rPr>
        <w:rFonts w:hint="default"/>
      </w:rPr>
    </w:lvl>
    <w:lvl w:ilvl="4">
      <w:start w:val="1"/>
      <w:numFmt w:val="decimal"/>
      <w:lvlText w:val="%1.%2.%3.%4.%5."/>
      <w:lvlJc w:val="left"/>
      <w:pPr>
        <w:ind w:left="2229" w:hanging="792"/>
      </w:pPr>
      <w:rPr>
        <w:rFonts w:hint="default"/>
      </w:rPr>
    </w:lvl>
    <w:lvl w:ilvl="5">
      <w:start w:val="1"/>
      <w:numFmt w:val="decimal"/>
      <w:lvlText w:val="%1.%2.%3.%4.%5.%6."/>
      <w:lvlJc w:val="left"/>
      <w:pPr>
        <w:ind w:left="2733" w:hanging="936"/>
      </w:pPr>
      <w:rPr>
        <w:rFonts w:hint="default"/>
      </w:rPr>
    </w:lvl>
    <w:lvl w:ilvl="6">
      <w:start w:val="1"/>
      <w:numFmt w:val="decimal"/>
      <w:lvlText w:val="%1.%2.%3.%4.%5.%6.%7."/>
      <w:lvlJc w:val="left"/>
      <w:pPr>
        <w:ind w:left="3237" w:hanging="1080"/>
      </w:pPr>
      <w:rPr>
        <w:rFonts w:hint="default"/>
      </w:rPr>
    </w:lvl>
    <w:lvl w:ilvl="7">
      <w:start w:val="1"/>
      <w:numFmt w:val="decimal"/>
      <w:lvlText w:val="%1.%2.%3.%4.%5.%6.%7.%8."/>
      <w:lvlJc w:val="left"/>
      <w:pPr>
        <w:ind w:left="3741" w:hanging="1224"/>
      </w:pPr>
      <w:rPr>
        <w:rFonts w:hint="default"/>
      </w:rPr>
    </w:lvl>
    <w:lvl w:ilvl="8">
      <w:start w:val="1"/>
      <w:numFmt w:val="decimal"/>
      <w:lvlText w:val="%1.%2.%3.%4.%5.%6.%7.%8.%9."/>
      <w:lvlJc w:val="left"/>
      <w:pPr>
        <w:ind w:left="4317" w:hanging="1440"/>
      </w:pPr>
      <w:rPr>
        <w:rFonts w:hint="default"/>
      </w:rPr>
    </w:lvl>
  </w:abstractNum>
  <w:abstractNum w:abstractNumId="5" w15:restartNumberingAfterBreak="0">
    <w:nsid w:val="1E3B65D5"/>
    <w:multiLevelType w:val="hybridMultilevel"/>
    <w:tmpl w:val="BE6CBF7E"/>
    <w:lvl w:ilvl="0" w:tplc="BF5011CC">
      <w:start w:val="1"/>
      <w:numFmt w:val="bullet"/>
      <w:lvlText w:val=""/>
      <w:lvlJc w:val="left"/>
      <w:pPr>
        <w:ind w:left="720" w:hanging="360"/>
      </w:pPr>
      <w:rPr>
        <w:rFonts w:ascii="Symbol" w:hAnsi="Symbol" w:hint="default"/>
        <w:color w:val="E2231A"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5B4D41"/>
    <w:multiLevelType w:val="hybridMultilevel"/>
    <w:tmpl w:val="EC76EDB6"/>
    <w:lvl w:ilvl="0" w:tplc="FF9827F6">
      <w:start w:val="1"/>
      <w:numFmt w:val="bullet"/>
      <w:lvlText w:val=""/>
      <w:lvlJc w:val="left"/>
      <w:pPr>
        <w:ind w:left="720" w:hanging="360"/>
      </w:pPr>
      <w:rPr>
        <w:rFonts w:ascii="Symbol" w:hAnsi="Symbol" w:hint="default"/>
        <w:color w:val="E2231A"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6F51F6"/>
    <w:multiLevelType w:val="hybridMultilevel"/>
    <w:tmpl w:val="DEF4F842"/>
    <w:lvl w:ilvl="0" w:tplc="BF5011CC">
      <w:start w:val="1"/>
      <w:numFmt w:val="bullet"/>
      <w:lvlText w:val=""/>
      <w:lvlJc w:val="left"/>
      <w:pPr>
        <w:ind w:left="720" w:hanging="360"/>
      </w:pPr>
      <w:rPr>
        <w:rFonts w:ascii="Symbol" w:hAnsi="Symbol" w:hint="default"/>
        <w:color w:val="E2231A"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D82005"/>
    <w:multiLevelType w:val="hybridMultilevel"/>
    <w:tmpl w:val="27E86266"/>
    <w:lvl w:ilvl="0" w:tplc="597A064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F32F0A"/>
    <w:multiLevelType w:val="hybridMultilevel"/>
    <w:tmpl w:val="7E087BC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421E70"/>
    <w:multiLevelType w:val="hybridMultilevel"/>
    <w:tmpl w:val="88C46C8C"/>
    <w:lvl w:ilvl="0" w:tplc="9302382C">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E15C5B"/>
    <w:multiLevelType w:val="hybridMultilevel"/>
    <w:tmpl w:val="935A6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EF6A7E"/>
    <w:multiLevelType w:val="hybridMultilevel"/>
    <w:tmpl w:val="6AEC7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BE6C08"/>
    <w:multiLevelType w:val="hybridMultilevel"/>
    <w:tmpl w:val="B5D43880"/>
    <w:lvl w:ilvl="0" w:tplc="F25E893E">
      <w:start w:val="1"/>
      <w:numFmt w:val="bullet"/>
      <w:lvlText w:val=""/>
      <w:lvlJc w:val="left"/>
      <w:pPr>
        <w:ind w:left="720" w:hanging="360"/>
      </w:pPr>
      <w:rPr>
        <w:rFonts w:ascii="Symbol" w:hAnsi="Symbol" w:hint="default"/>
        <w:color w:val="E2231A"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E46894"/>
    <w:multiLevelType w:val="hybridMultilevel"/>
    <w:tmpl w:val="07580ED4"/>
    <w:lvl w:ilvl="0" w:tplc="A9F249D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7658B2"/>
    <w:multiLevelType w:val="hybridMultilevel"/>
    <w:tmpl w:val="D0746E78"/>
    <w:lvl w:ilvl="0" w:tplc="BF5011CC">
      <w:start w:val="1"/>
      <w:numFmt w:val="bullet"/>
      <w:lvlText w:val=""/>
      <w:lvlJc w:val="left"/>
      <w:pPr>
        <w:ind w:left="720" w:hanging="360"/>
      </w:pPr>
      <w:rPr>
        <w:rFonts w:ascii="Symbol" w:hAnsi="Symbol" w:hint="default"/>
        <w:color w:val="E2231A"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923939"/>
    <w:multiLevelType w:val="hybridMultilevel"/>
    <w:tmpl w:val="B9543C90"/>
    <w:lvl w:ilvl="0" w:tplc="92A664A6">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17" w15:restartNumberingAfterBreak="0">
    <w:nsid w:val="3F347590"/>
    <w:multiLevelType w:val="hybridMultilevel"/>
    <w:tmpl w:val="D5D86ECA"/>
    <w:lvl w:ilvl="0" w:tplc="4498E6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1F05A10"/>
    <w:multiLevelType w:val="hybridMultilevel"/>
    <w:tmpl w:val="D5605166"/>
    <w:lvl w:ilvl="0" w:tplc="0C0A0003">
      <w:start w:val="1"/>
      <w:numFmt w:val="bullet"/>
      <w:lvlText w:val="o"/>
      <w:lvlJc w:val="left"/>
      <w:pPr>
        <w:ind w:left="1060" w:hanging="360"/>
      </w:pPr>
      <w:rPr>
        <w:rFonts w:ascii="Courier New" w:hAnsi="Courier New" w:cs="Courier New"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9" w15:restartNumberingAfterBreak="0">
    <w:nsid w:val="42840D6C"/>
    <w:multiLevelType w:val="hybridMultilevel"/>
    <w:tmpl w:val="7C6CBC56"/>
    <w:lvl w:ilvl="0" w:tplc="B45E1274">
      <w:start w:val="1"/>
      <w:numFmt w:val="decimal"/>
      <w:lvlText w:val="%1."/>
      <w:lvlJc w:val="left"/>
      <w:pPr>
        <w:ind w:left="720" w:hanging="360"/>
      </w:pPr>
      <w:rPr>
        <w:rFonts w:hint="default"/>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9F6504"/>
    <w:multiLevelType w:val="multilevel"/>
    <w:tmpl w:val="D4F0AF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4BC34AA"/>
    <w:multiLevelType w:val="multilevel"/>
    <w:tmpl w:val="4D80986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107020"/>
    <w:multiLevelType w:val="hybridMultilevel"/>
    <w:tmpl w:val="52981F02"/>
    <w:lvl w:ilvl="0" w:tplc="EB0A6788">
      <w:start w:val="1"/>
      <w:numFmt w:val="bullet"/>
      <w:lvlText w:val="o"/>
      <w:lvlJc w:val="left"/>
      <w:pPr>
        <w:ind w:left="720" w:hanging="360"/>
      </w:pPr>
      <w:rPr>
        <w:rFonts w:ascii="Courier New" w:hAnsi="Courier New" w:cs="Courier New"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700CBC"/>
    <w:multiLevelType w:val="multilevel"/>
    <w:tmpl w:val="D30C06DE"/>
    <w:lvl w:ilvl="0">
      <w:start w:val="1"/>
      <w:numFmt w:val="bullet"/>
      <w:pStyle w:val="Prrafodelista"/>
      <w:lvlText w:val=""/>
      <w:lvlJc w:val="left"/>
      <w:pPr>
        <w:ind w:left="284" w:hanging="284"/>
      </w:pPr>
      <w:rPr>
        <w:rFonts w:ascii="Symbol" w:hAnsi="Symbol" w:hint="default"/>
        <w:caps w:val="0"/>
        <w:strike w:val="0"/>
        <w:dstrike w:val="0"/>
        <w:vanish w:val="0"/>
        <w:color w:val="E2231A" w:themeColor="accent1"/>
        <w:spacing w:val="0"/>
        <w:w w:val="100"/>
        <w:position w:val="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0D02A4"/>
    <w:multiLevelType w:val="hybridMultilevel"/>
    <w:tmpl w:val="7526B47C"/>
    <w:lvl w:ilvl="0" w:tplc="05F003F6">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76165F5"/>
    <w:multiLevelType w:val="hybridMultilevel"/>
    <w:tmpl w:val="756625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80500EC"/>
    <w:multiLevelType w:val="hybridMultilevel"/>
    <w:tmpl w:val="B838E6EC"/>
    <w:lvl w:ilvl="0" w:tplc="85E64B32">
      <w:start w:val="1"/>
      <w:numFmt w:val="bullet"/>
      <w:lvlText w:val=""/>
      <w:lvlJc w:val="left"/>
      <w:pPr>
        <w:ind w:left="720" w:hanging="360"/>
      </w:pPr>
      <w:rPr>
        <w:rFonts w:ascii="Symbol" w:hAnsi="Symbol" w:hint="default"/>
        <w:color w:val="E2231A"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331100"/>
    <w:multiLevelType w:val="hybridMultilevel"/>
    <w:tmpl w:val="D472D7F8"/>
    <w:lvl w:ilvl="0" w:tplc="BF5011CC">
      <w:start w:val="1"/>
      <w:numFmt w:val="bullet"/>
      <w:lvlText w:val=""/>
      <w:lvlJc w:val="left"/>
      <w:pPr>
        <w:ind w:left="720" w:hanging="360"/>
      </w:pPr>
      <w:rPr>
        <w:rFonts w:ascii="Symbol" w:hAnsi="Symbol" w:hint="default"/>
        <w:color w:val="E2231A"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27207B4"/>
    <w:multiLevelType w:val="hybridMultilevel"/>
    <w:tmpl w:val="99F24AC8"/>
    <w:lvl w:ilvl="0" w:tplc="38C654C4">
      <w:start w:val="1"/>
      <w:numFmt w:val="bullet"/>
      <w:lvlText w:val=""/>
      <w:lvlJc w:val="left"/>
      <w:pPr>
        <w:ind w:left="720" w:hanging="360"/>
      </w:pPr>
      <w:rPr>
        <w:rFonts w:ascii="Symbol" w:hAnsi="Symbol" w:hint="default"/>
        <w:color w:val="E2231A"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B6665FD"/>
    <w:multiLevelType w:val="multilevel"/>
    <w:tmpl w:val="19F07684"/>
    <w:lvl w:ilvl="0">
      <w:start w:val="1"/>
      <w:numFmt w:val="bullet"/>
      <w:lvlText w:val=""/>
      <w:lvlJc w:val="left"/>
      <w:pPr>
        <w:ind w:left="284" w:hanging="284"/>
      </w:pPr>
      <w:rPr>
        <w:rFonts w:ascii="Symbol" w:hAnsi="Symbol" w:hint="default"/>
        <w:caps w:val="0"/>
        <w:strike w:val="0"/>
        <w:dstrike w:val="0"/>
        <w:vanish w:val="0"/>
        <w:color w:val="E2231A" w:themeColor="accent1"/>
        <w:spacing w:val="0"/>
        <w:w w:val="100"/>
        <w:position w:val="0"/>
        <w:u w:val="none"/>
        <w:vertAlign w:val="baseline"/>
      </w:rPr>
    </w:lvl>
    <w:lvl w:ilvl="1">
      <w:start w:val="1"/>
      <w:numFmt w:val="bullet"/>
      <w:pStyle w:val="Prrafodelista2"/>
      <w:lvlText w:val="o"/>
      <w:lvlJc w:val="left"/>
      <w:pPr>
        <w:ind w:left="454" w:hanging="170"/>
      </w:pPr>
      <w:rPr>
        <w:rFonts w:ascii="Courier New" w:hAnsi="Courier New" w:hint="default"/>
        <w:b w:val="0"/>
        <w:i w:val="0"/>
        <w:caps w:val="0"/>
        <w:strike w:val="0"/>
        <w:dstrike w:val="0"/>
        <w:vanish w:val="0"/>
        <w:color w:val="ED7B0F" w:themeColor="accent2"/>
        <w:sz w:val="22"/>
        <w:vertAlign w:val="baseline"/>
      </w:rPr>
    </w:lvl>
    <w:lvl w:ilvl="2">
      <w:start w:val="1"/>
      <w:numFmt w:val="bullet"/>
      <w:pStyle w:val="Prrafodelista3"/>
      <w:lvlText w:val=""/>
      <w:lvlJc w:val="left"/>
      <w:pPr>
        <w:ind w:left="737" w:hanging="170"/>
      </w:pPr>
      <w:rPr>
        <w:rFonts w:ascii="Symbol" w:hAnsi="Symbol" w:hint="default"/>
        <w:caps w:val="0"/>
        <w:strike w:val="0"/>
        <w:dstrike w:val="0"/>
        <w:vanish w:val="0"/>
        <w:color w:val="9D9A9D" w:themeColor="accent5"/>
        <w:vertAlign w:val="baseline"/>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8210FD"/>
    <w:multiLevelType w:val="hybridMultilevel"/>
    <w:tmpl w:val="33AA80AE"/>
    <w:lvl w:ilvl="0" w:tplc="BF5011CC">
      <w:start w:val="1"/>
      <w:numFmt w:val="bullet"/>
      <w:lvlText w:val=""/>
      <w:lvlJc w:val="left"/>
      <w:pPr>
        <w:ind w:left="720" w:hanging="360"/>
      </w:pPr>
      <w:rPr>
        <w:rFonts w:ascii="Symbol" w:hAnsi="Symbol" w:hint="default"/>
        <w:color w:val="E2231A" w:themeColor="accent1"/>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8592FB4"/>
    <w:multiLevelType w:val="hybridMultilevel"/>
    <w:tmpl w:val="5AD27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D0161A5"/>
    <w:multiLevelType w:val="hybridMultilevel"/>
    <w:tmpl w:val="98D480B8"/>
    <w:lvl w:ilvl="0" w:tplc="BF5011CC">
      <w:start w:val="1"/>
      <w:numFmt w:val="bullet"/>
      <w:lvlText w:val=""/>
      <w:lvlJc w:val="left"/>
      <w:pPr>
        <w:ind w:left="720" w:hanging="360"/>
      </w:pPr>
      <w:rPr>
        <w:rFonts w:ascii="Symbol" w:hAnsi="Symbol" w:hint="default"/>
        <w:color w:val="E2231A"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0949759">
    <w:abstractNumId w:val="23"/>
  </w:num>
  <w:num w:numId="2" w16cid:durableId="1584531424">
    <w:abstractNumId w:val="29"/>
  </w:num>
  <w:num w:numId="3" w16cid:durableId="489448407">
    <w:abstractNumId w:val="4"/>
  </w:num>
  <w:num w:numId="4" w16cid:durableId="1953901632">
    <w:abstractNumId w:val="2"/>
  </w:num>
  <w:num w:numId="5" w16cid:durableId="1704550007">
    <w:abstractNumId w:val="7"/>
  </w:num>
  <w:num w:numId="6" w16cid:durableId="595674621">
    <w:abstractNumId w:val="30"/>
  </w:num>
  <w:num w:numId="7" w16cid:durableId="8339064">
    <w:abstractNumId w:val="11"/>
  </w:num>
  <w:num w:numId="8" w16cid:durableId="1636712085">
    <w:abstractNumId w:val="9"/>
  </w:num>
  <w:num w:numId="9" w16cid:durableId="1702433979">
    <w:abstractNumId w:val="31"/>
  </w:num>
  <w:num w:numId="10" w16cid:durableId="2027323343">
    <w:abstractNumId w:val="0"/>
  </w:num>
  <w:num w:numId="11" w16cid:durableId="1190488642">
    <w:abstractNumId w:val="13"/>
  </w:num>
  <w:num w:numId="12" w16cid:durableId="1911966590">
    <w:abstractNumId w:val="25"/>
  </w:num>
  <w:num w:numId="13" w16cid:durableId="1180434832">
    <w:abstractNumId w:val="3"/>
  </w:num>
  <w:num w:numId="14" w16cid:durableId="481895196">
    <w:abstractNumId w:val="1"/>
  </w:num>
  <w:num w:numId="15" w16cid:durableId="884562854">
    <w:abstractNumId w:val="16"/>
  </w:num>
  <w:num w:numId="16" w16cid:durableId="22630255">
    <w:abstractNumId w:val="20"/>
  </w:num>
  <w:num w:numId="17" w16cid:durableId="229388881">
    <w:abstractNumId w:val="21"/>
  </w:num>
  <w:num w:numId="18" w16cid:durableId="1839273013">
    <w:abstractNumId w:val="18"/>
  </w:num>
  <w:num w:numId="19" w16cid:durableId="925724647">
    <w:abstractNumId w:val="14"/>
  </w:num>
  <w:num w:numId="20" w16cid:durableId="322664164">
    <w:abstractNumId w:val="24"/>
  </w:num>
  <w:num w:numId="21" w16cid:durableId="451289914">
    <w:abstractNumId w:val="19"/>
  </w:num>
  <w:num w:numId="22" w16cid:durableId="264074534">
    <w:abstractNumId w:val="12"/>
  </w:num>
  <w:num w:numId="23" w16cid:durableId="1555895667">
    <w:abstractNumId w:val="6"/>
  </w:num>
  <w:num w:numId="24" w16cid:durableId="1525241933">
    <w:abstractNumId w:val="26"/>
  </w:num>
  <w:num w:numId="25" w16cid:durableId="1560703874">
    <w:abstractNumId w:val="5"/>
  </w:num>
  <w:num w:numId="26" w16cid:durableId="1430347725">
    <w:abstractNumId w:val="4"/>
  </w:num>
  <w:num w:numId="27" w16cid:durableId="800267673">
    <w:abstractNumId w:val="10"/>
  </w:num>
  <w:num w:numId="28" w16cid:durableId="733163619">
    <w:abstractNumId w:val="8"/>
  </w:num>
  <w:num w:numId="29" w16cid:durableId="1693265950">
    <w:abstractNumId w:val="15"/>
  </w:num>
  <w:num w:numId="30" w16cid:durableId="1773937962">
    <w:abstractNumId w:val="32"/>
  </w:num>
  <w:num w:numId="31" w16cid:durableId="1376811060">
    <w:abstractNumId w:val="22"/>
  </w:num>
  <w:num w:numId="32" w16cid:durableId="1150368737">
    <w:abstractNumId w:val="23"/>
  </w:num>
  <w:num w:numId="33" w16cid:durableId="242186612">
    <w:abstractNumId w:val="17"/>
  </w:num>
  <w:num w:numId="34" w16cid:durableId="1843739650">
    <w:abstractNumId w:val="27"/>
  </w:num>
  <w:num w:numId="35" w16cid:durableId="206576553">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34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803"/>
    <w:rsid w:val="000010F2"/>
    <w:rsid w:val="00001F12"/>
    <w:rsid w:val="00002796"/>
    <w:rsid w:val="0000289A"/>
    <w:rsid w:val="00007AEB"/>
    <w:rsid w:val="00011132"/>
    <w:rsid w:val="00011A6A"/>
    <w:rsid w:val="00012359"/>
    <w:rsid w:val="00021C63"/>
    <w:rsid w:val="00021CAF"/>
    <w:rsid w:val="00024DAF"/>
    <w:rsid w:val="00025491"/>
    <w:rsid w:val="00026D37"/>
    <w:rsid w:val="000306EA"/>
    <w:rsid w:val="000307EE"/>
    <w:rsid w:val="000325D8"/>
    <w:rsid w:val="0003558E"/>
    <w:rsid w:val="00036350"/>
    <w:rsid w:val="00036BDD"/>
    <w:rsid w:val="000412D6"/>
    <w:rsid w:val="00041E0D"/>
    <w:rsid w:val="00041F79"/>
    <w:rsid w:val="000424B5"/>
    <w:rsid w:val="00044465"/>
    <w:rsid w:val="000451D3"/>
    <w:rsid w:val="00050273"/>
    <w:rsid w:val="00050400"/>
    <w:rsid w:val="000544C7"/>
    <w:rsid w:val="00054ED2"/>
    <w:rsid w:val="000552C1"/>
    <w:rsid w:val="000570B7"/>
    <w:rsid w:val="00063AD8"/>
    <w:rsid w:val="00067E2B"/>
    <w:rsid w:val="0007152B"/>
    <w:rsid w:val="00072E33"/>
    <w:rsid w:val="00073D1B"/>
    <w:rsid w:val="00074BC5"/>
    <w:rsid w:val="0007681C"/>
    <w:rsid w:val="00076F7F"/>
    <w:rsid w:val="00077D2F"/>
    <w:rsid w:val="000816C8"/>
    <w:rsid w:val="0008187A"/>
    <w:rsid w:val="000818A1"/>
    <w:rsid w:val="00081E2D"/>
    <w:rsid w:val="00083531"/>
    <w:rsid w:val="00083B6B"/>
    <w:rsid w:val="00090F00"/>
    <w:rsid w:val="0009118C"/>
    <w:rsid w:val="000916C9"/>
    <w:rsid w:val="00096E8E"/>
    <w:rsid w:val="000A1326"/>
    <w:rsid w:val="000A4B69"/>
    <w:rsid w:val="000A4FD7"/>
    <w:rsid w:val="000A5EB0"/>
    <w:rsid w:val="000A6119"/>
    <w:rsid w:val="000B2737"/>
    <w:rsid w:val="000B5BD9"/>
    <w:rsid w:val="000B5E5E"/>
    <w:rsid w:val="000B612A"/>
    <w:rsid w:val="000B68A4"/>
    <w:rsid w:val="000C2084"/>
    <w:rsid w:val="000C60AC"/>
    <w:rsid w:val="000C6611"/>
    <w:rsid w:val="000D2024"/>
    <w:rsid w:val="000D21CB"/>
    <w:rsid w:val="000D3513"/>
    <w:rsid w:val="000D78E7"/>
    <w:rsid w:val="000E0453"/>
    <w:rsid w:val="000E08ED"/>
    <w:rsid w:val="000E111D"/>
    <w:rsid w:val="000E2692"/>
    <w:rsid w:val="000E44BD"/>
    <w:rsid w:val="000E4696"/>
    <w:rsid w:val="000E50C6"/>
    <w:rsid w:val="000E5343"/>
    <w:rsid w:val="000E7D32"/>
    <w:rsid w:val="000F3E5B"/>
    <w:rsid w:val="000F7102"/>
    <w:rsid w:val="0010163E"/>
    <w:rsid w:val="00107DDD"/>
    <w:rsid w:val="00111AA5"/>
    <w:rsid w:val="00113651"/>
    <w:rsid w:val="0011369F"/>
    <w:rsid w:val="00113709"/>
    <w:rsid w:val="0011729E"/>
    <w:rsid w:val="001174E3"/>
    <w:rsid w:val="00130D42"/>
    <w:rsid w:val="00133467"/>
    <w:rsid w:val="001348ED"/>
    <w:rsid w:val="00134E77"/>
    <w:rsid w:val="00142890"/>
    <w:rsid w:val="001463A2"/>
    <w:rsid w:val="00146A39"/>
    <w:rsid w:val="001577F8"/>
    <w:rsid w:val="0016153B"/>
    <w:rsid w:val="00162022"/>
    <w:rsid w:val="00163559"/>
    <w:rsid w:val="001652B7"/>
    <w:rsid w:val="00177466"/>
    <w:rsid w:val="00181D86"/>
    <w:rsid w:val="00182FE7"/>
    <w:rsid w:val="00183922"/>
    <w:rsid w:val="001858EC"/>
    <w:rsid w:val="0019328E"/>
    <w:rsid w:val="00193B65"/>
    <w:rsid w:val="001A2DDF"/>
    <w:rsid w:val="001A322E"/>
    <w:rsid w:val="001A3296"/>
    <w:rsid w:val="001A34ED"/>
    <w:rsid w:val="001A52F1"/>
    <w:rsid w:val="001A6350"/>
    <w:rsid w:val="001A715E"/>
    <w:rsid w:val="001B0376"/>
    <w:rsid w:val="001B2A57"/>
    <w:rsid w:val="001B3D6B"/>
    <w:rsid w:val="001B3F18"/>
    <w:rsid w:val="001B5645"/>
    <w:rsid w:val="001B5DCA"/>
    <w:rsid w:val="001B77D5"/>
    <w:rsid w:val="001C13B0"/>
    <w:rsid w:val="001C14DC"/>
    <w:rsid w:val="001C1CD8"/>
    <w:rsid w:val="001C3798"/>
    <w:rsid w:val="001C3A52"/>
    <w:rsid w:val="001C3B07"/>
    <w:rsid w:val="001C5637"/>
    <w:rsid w:val="001C6DF0"/>
    <w:rsid w:val="001D2309"/>
    <w:rsid w:val="001D30E0"/>
    <w:rsid w:val="001D42AD"/>
    <w:rsid w:val="001D42B0"/>
    <w:rsid w:val="001D483E"/>
    <w:rsid w:val="001D5B18"/>
    <w:rsid w:val="001D6101"/>
    <w:rsid w:val="001D76CD"/>
    <w:rsid w:val="001E1951"/>
    <w:rsid w:val="001E1E42"/>
    <w:rsid w:val="001E4691"/>
    <w:rsid w:val="001E5379"/>
    <w:rsid w:val="001F34D9"/>
    <w:rsid w:val="001F719F"/>
    <w:rsid w:val="001F7F12"/>
    <w:rsid w:val="00202233"/>
    <w:rsid w:val="00202B65"/>
    <w:rsid w:val="00204325"/>
    <w:rsid w:val="002055A5"/>
    <w:rsid w:val="00205E0B"/>
    <w:rsid w:val="002113A4"/>
    <w:rsid w:val="00211FE7"/>
    <w:rsid w:val="002122FA"/>
    <w:rsid w:val="00212B68"/>
    <w:rsid w:val="002138C5"/>
    <w:rsid w:val="00215E57"/>
    <w:rsid w:val="00216F9F"/>
    <w:rsid w:val="00217972"/>
    <w:rsid w:val="00217C39"/>
    <w:rsid w:val="0022398D"/>
    <w:rsid w:val="00225073"/>
    <w:rsid w:val="0022744F"/>
    <w:rsid w:val="00231507"/>
    <w:rsid w:val="0023259D"/>
    <w:rsid w:val="00232763"/>
    <w:rsid w:val="002333C4"/>
    <w:rsid w:val="00240234"/>
    <w:rsid w:val="002403C0"/>
    <w:rsid w:val="00247709"/>
    <w:rsid w:val="00256657"/>
    <w:rsid w:val="00260C25"/>
    <w:rsid w:val="0026221E"/>
    <w:rsid w:val="0026407A"/>
    <w:rsid w:val="002661FE"/>
    <w:rsid w:val="00266C35"/>
    <w:rsid w:val="0027043B"/>
    <w:rsid w:val="00277DB4"/>
    <w:rsid w:val="002800FA"/>
    <w:rsid w:val="0028020C"/>
    <w:rsid w:val="0028192F"/>
    <w:rsid w:val="00284E95"/>
    <w:rsid w:val="002858E7"/>
    <w:rsid w:val="00290358"/>
    <w:rsid w:val="00290603"/>
    <w:rsid w:val="00292C48"/>
    <w:rsid w:val="00293FC2"/>
    <w:rsid w:val="00294341"/>
    <w:rsid w:val="00294FDE"/>
    <w:rsid w:val="002A0CAD"/>
    <w:rsid w:val="002A39CB"/>
    <w:rsid w:val="002A5018"/>
    <w:rsid w:val="002A6379"/>
    <w:rsid w:val="002B1A60"/>
    <w:rsid w:val="002B21A0"/>
    <w:rsid w:val="002B4924"/>
    <w:rsid w:val="002B4BCE"/>
    <w:rsid w:val="002B7B3C"/>
    <w:rsid w:val="002C01B5"/>
    <w:rsid w:val="002C3E74"/>
    <w:rsid w:val="002C5411"/>
    <w:rsid w:val="002C70F4"/>
    <w:rsid w:val="002D0DFC"/>
    <w:rsid w:val="002D1D4E"/>
    <w:rsid w:val="002D20D0"/>
    <w:rsid w:val="002D27A4"/>
    <w:rsid w:val="002D48C5"/>
    <w:rsid w:val="002D4993"/>
    <w:rsid w:val="002D5259"/>
    <w:rsid w:val="002D5B1F"/>
    <w:rsid w:val="002D7077"/>
    <w:rsid w:val="002E2D3B"/>
    <w:rsid w:val="002E3657"/>
    <w:rsid w:val="002E4F67"/>
    <w:rsid w:val="002E5A95"/>
    <w:rsid w:val="002E608D"/>
    <w:rsid w:val="002E762E"/>
    <w:rsid w:val="002F0F18"/>
    <w:rsid w:val="002F190D"/>
    <w:rsid w:val="002F3ED6"/>
    <w:rsid w:val="002F76CC"/>
    <w:rsid w:val="003009C3"/>
    <w:rsid w:val="003018E8"/>
    <w:rsid w:val="0030323D"/>
    <w:rsid w:val="00303AEE"/>
    <w:rsid w:val="00306D5E"/>
    <w:rsid w:val="00307F55"/>
    <w:rsid w:val="0031046B"/>
    <w:rsid w:val="003105A3"/>
    <w:rsid w:val="00311814"/>
    <w:rsid w:val="00312792"/>
    <w:rsid w:val="00312F0A"/>
    <w:rsid w:val="00313ABF"/>
    <w:rsid w:val="00313F94"/>
    <w:rsid w:val="003140C2"/>
    <w:rsid w:val="003144EC"/>
    <w:rsid w:val="00321890"/>
    <w:rsid w:val="0032464D"/>
    <w:rsid w:val="00325CB7"/>
    <w:rsid w:val="0033073B"/>
    <w:rsid w:val="00334604"/>
    <w:rsid w:val="00335E1E"/>
    <w:rsid w:val="00336A71"/>
    <w:rsid w:val="00336E02"/>
    <w:rsid w:val="00337977"/>
    <w:rsid w:val="00341217"/>
    <w:rsid w:val="0034687C"/>
    <w:rsid w:val="003469C0"/>
    <w:rsid w:val="00352B42"/>
    <w:rsid w:val="00354BD6"/>
    <w:rsid w:val="00355D87"/>
    <w:rsid w:val="003611B5"/>
    <w:rsid w:val="003661C2"/>
    <w:rsid w:val="00366651"/>
    <w:rsid w:val="003666E1"/>
    <w:rsid w:val="00366A05"/>
    <w:rsid w:val="00367C57"/>
    <w:rsid w:val="00367DEF"/>
    <w:rsid w:val="00370340"/>
    <w:rsid w:val="00370ED3"/>
    <w:rsid w:val="00372BDF"/>
    <w:rsid w:val="00374463"/>
    <w:rsid w:val="003766C5"/>
    <w:rsid w:val="003804EA"/>
    <w:rsid w:val="00380F8D"/>
    <w:rsid w:val="00381B40"/>
    <w:rsid w:val="00383481"/>
    <w:rsid w:val="0038607E"/>
    <w:rsid w:val="003873A0"/>
    <w:rsid w:val="00387442"/>
    <w:rsid w:val="00390115"/>
    <w:rsid w:val="003939D7"/>
    <w:rsid w:val="00394096"/>
    <w:rsid w:val="003957FB"/>
    <w:rsid w:val="003971E7"/>
    <w:rsid w:val="0039724A"/>
    <w:rsid w:val="0039750F"/>
    <w:rsid w:val="003A1E37"/>
    <w:rsid w:val="003A2C3D"/>
    <w:rsid w:val="003A5C1C"/>
    <w:rsid w:val="003B2C56"/>
    <w:rsid w:val="003B329B"/>
    <w:rsid w:val="003B6FED"/>
    <w:rsid w:val="003C274E"/>
    <w:rsid w:val="003C53F8"/>
    <w:rsid w:val="003C68AD"/>
    <w:rsid w:val="003C6C25"/>
    <w:rsid w:val="003C7874"/>
    <w:rsid w:val="003C7EC6"/>
    <w:rsid w:val="003D4EE1"/>
    <w:rsid w:val="003D6574"/>
    <w:rsid w:val="003D7AF1"/>
    <w:rsid w:val="003E000B"/>
    <w:rsid w:val="003E2AF9"/>
    <w:rsid w:val="003E3156"/>
    <w:rsid w:val="003E5264"/>
    <w:rsid w:val="003F033D"/>
    <w:rsid w:val="003F1253"/>
    <w:rsid w:val="003F5107"/>
    <w:rsid w:val="00400A17"/>
    <w:rsid w:val="00400C0D"/>
    <w:rsid w:val="0040161B"/>
    <w:rsid w:val="00406C9A"/>
    <w:rsid w:val="004118A3"/>
    <w:rsid w:val="004120F7"/>
    <w:rsid w:val="00417DB1"/>
    <w:rsid w:val="00421088"/>
    <w:rsid w:val="004223E1"/>
    <w:rsid w:val="00423379"/>
    <w:rsid w:val="00423FA5"/>
    <w:rsid w:val="00425750"/>
    <w:rsid w:val="00426483"/>
    <w:rsid w:val="00433FA1"/>
    <w:rsid w:val="00434A7F"/>
    <w:rsid w:val="00435077"/>
    <w:rsid w:val="00437CF2"/>
    <w:rsid w:val="0044207E"/>
    <w:rsid w:val="00442336"/>
    <w:rsid w:val="00443312"/>
    <w:rsid w:val="00444A9E"/>
    <w:rsid w:val="0044521D"/>
    <w:rsid w:val="00450CBA"/>
    <w:rsid w:val="0045184C"/>
    <w:rsid w:val="0045227C"/>
    <w:rsid w:val="0045683B"/>
    <w:rsid w:val="00464F47"/>
    <w:rsid w:val="004663AF"/>
    <w:rsid w:val="004668B8"/>
    <w:rsid w:val="00467883"/>
    <w:rsid w:val="004712D9"/>
    <w:rsid w:val="0047199C"/>
    <w:rsid w:val="00482326"/>
    <w:rsid w:val="00485DF8"/>
    <w:rsid w:val="004863E4"/>
    <w:rsid w:val="00490C7D"/>
    <w:rsid w:val="004922AD"/>
    <w:rsid w:val="00492987"/>
    <w:rsid w:val="004949DE"/>
    <w:rsid w:val="00496900"/>
    <w:rsid w:val="00497F28"/>
    <w:rsid w:val="004A3638"/>
    <w:rsid w:val="004A4D69"/>
    <w:rsid w:val="004A6CF6"/>
    <w:rsid w:val="004A7742"/>
    <w:rsid w:val="004A7FE0"/>
    <w:rsid w:val="004B32AE"/>
    <w:rsid w:val="004B36AD"/>
    <w:rsid w:val="004B389C"/>
    <w:rsid w:val="004B75D1"/>
    <w:rsid w:val="004C0437"/>
    <w:rsid w:val="004C1F49"/>
    <w:rsid w:val="004C4ABB"/>
    <w:rsid w:val="004C70FB"/>
    <w:rsid w:val="004D4CCD"/>
    <w:rsid w:val="004D5B8E"/>
    <w:rsid w:val="004D62F2"/>
    <w:rsid w:val="004E2585"/>
    <w:rsid w:val="004E3BCC"/>
    <w:rsid w:val="004E46A3"/>
    <w:rsid w:val="004E5DDB"/>
    <w:rsid w:val="004F041C"/>
    <w:rsid w:val="004F0D6D"/>
    <w:rsid w:val="004F1B6B"/>
    <w:rsid w:val="004F30CD"/>
    <w:rsid w:val="00500959"/>
    <w:rsid w:val="005024D4"/>
    <w:rsid w:val="00503C74"/>
    <w:rsid w:val="00503D96"/>
    <w:rsid w:val="00503DC4"/>
    <w:rsid w:val="00504201"/>
    <w:rsid w:val="0050469A"/>
    <w:rsid w:val="00507AA7"/>
    <w:rsid w:val="0051108F"/>
    <w:rsid w:val="00513B6E"/>
    <w:rsid w:val="00515116"/>
    <w:rsid w:val="005256FB"/>
    <w:rsid w:val="00527AB9"/>
    <w:rsid w:val="0053095F"/>
    <w:rsid w:val="00530B29"/>
    <w:rsid w:val="00530E4A"/>
    <w:rsid w:val="005313C3"/>
    <w:rsid w:val="00533674"/>
    <w:rsid w:val="00533F76"/>
    <w:rsid w:val="00535225"/>
    <w:rsid w:val="005366F6"/>
    <w:rsid w:val="005444B7"/>
    <w:rsid w:val="00544D69"/>
    <w:rsid w:val="00551E8C"/>
    <w:rsid w:val="005531BC"/>
    <w:rsid w:val="00556FAB"/>
    <w:rsid w:val="00570420"/>
    <w:rsid w:val="00570927"/>
    <w:rsid w:val="00570EAD"/>
    <w:rsid w:val="005720F5"/>
    <w:rsid w:val="00573CE9"/>
    <w:rsid w:val="005747FB"/>
    <w:rsid w:val="005751AA"/>
    <w:rsid w:val="00575EE4"/>
    <w:rsid w:val="005762D4"/>
    <w:rsid w:val="005800BC"/>
    <w:rsid w:val="00580ECF"/>
    <w:rsid w:val="0058129B"/>
    <w:rsid w:val="00582ED5"/>
    <w:rsid w:val="00583DDF"/>
    <w:rsid w:val="00584DB0"/>
    <w:rsid w:val="005878E8"/>
    <w:rsid w:val="00596108"/>
    <w:rsid w:val="00596A3A"/>
    <w:rsid w:val="005A03A0"/>
    <w:rsid w:val="005A49AB"/>
    <w:rsid w:val="005B1501"/>
    <w:rsid w:val="005B35C0"/>
    <w:rsid w:val="005B5818"/>
    <w:rsid w:val="005C456F"/>
    <w:rsid w:val="005C52F5"/>
    <w:rsid w:val="005C6600"/>
    <w:rsid w:val="005D1A48"/>
    <w:rsid w:val="005D4008"/>
    <w:rsid w:val="005D4CE5"/>
    <w:rsid w:val="005D5115"/>
    <w:rsid w:val="005D5C49"/>
    <w:rsid w:val="005D6A21"/>
    <w:rsid w:val="005E4C8E"/>
    <w:rsid w:val="005E5655"/>
    <w:rsid w:val="005E5781"/>
    <w:rsid w:val="005E6306"/>
    <w:rsid w:val="005E70A0"/>
    <w:rsid w:val="005E76A0"/>
    <w:rsid w:val="005F147A"/>
    <w:rsid w:val="005F1E49"/>
    <w:rsid w:val="005F1E79"/>
    <w:rsid w:val="005F2C00"/>
    <w:rsid w:val="005F36DA"/>
    <w:rsid w:val="005F4934"/>
    <w:rsid w:val="005F4F3E"/>
    <w:rsid w:val="005F56EF"/>
    <w:rsid w:val="005F5C58"/>
    <w:rsid w:val="00605838"/>
    <w:rsid w:val="00605CAF"/>
    <w:rsid w:val="006075BF"/>
    <w:rsid w:val="006148DD"/>
    <w:rsid w:val="00616951"/>
    <w:rsid w:val="00616F74"/>
    <w:rsid w:val="0061722B"/>
    <w:rsid w:val="00621472"/>
    <w:rsid w:val="006227F7"/>
    <w:rsid w:val="00622A66"/>
    <w:rsid w:val="006250B5"/>
    <w:rsid w:val="006254AA"/>
    <w:rsid w:val="00625FFE"/>
    <w:rsid w:val="00626023"/>
    <w:rsid w:val="006268E9"/>
    <w:rsid w:val="00626ACA"/>
    <w:rsid w:val="0062733D"/>
    <w:rsid w:val="00631A4F"/>
    <w:rsid w:val="00633AD2"/>
    <w:rsid w:val="00642860"/>
    <w:rsid w:val="00644B36"/>
    <w:rsid w:val="00645698"/>
    <w:rsid w:val="006471C1"/>
    <w:rsid w:val="00650C04"/>
    <w:rsid w:val="006528EF"/>
    <w:rsid w:val="00654402"/>
    <w:rsid w:val="006548EE"/>
    <w:rsid w:val="006551F3"/>
    <w:rsid w:val="0066042C"/>
    <w:rsid w:val="006606C9"/>
    <w:rsid w:val="00662141"/>
    <w:rsid w:val="0066709C"/>
    <w:rsid w:val="00671B73"/>
    <w:rsid w:val="00673249"/>
    <w:rsid w:val="006737C7"/>
    <w:rsid w:val="0067452D"/>
    <w:rsid w:val="00675D64"/>
    <w:rsid w:val="006830C3"/>
    <w:rsid w:val="00683C37"/>
    <w:rsid w:val="0068459B"/>
    <w:rsid w:val="00685345"/>
    <w:rsid w:val="006853D8"/>
    <w:rsid w:val="00695E38"/>
    <w:rsid w:val="006A15D2"/>
    <w:rsid w:val="006A2876"/>
    <w:rsid w:val="006A451D"/>
    <w:rsid w:val="006A7E26"/>
    <w:rsid w:val="006B3CAC"/>
    <w:rsid w:val="006C0BEE"/>
    <w:rsid w:val="006C429D"/>
    <w:rsid w:val="006C733B"/>
    <w:rsid w:val="006D3C1D"/>
    <w:rsid w:val="006D415F"/>
    <w:rsid w:val="006D6AED"/>
    <w:rsid w:val="006E4FFB"/>
    <w:rsid w:val="006E6542"/>
    <w:rsid w:val="006E6C82"/>
    <w:rsid w:val="006E7A14"/>
    <w:rsid w:val="006F00D9"/>
    <w:rsid w:val="006F2DCF"/>
    <w:rsid w:val="006F3A5D"/>
    <w:rsid w:val="006F3E6F"/>
    <w:rsid w:val="006F4224"/>
    <w:rsid w:val="006F5B74"/>
    <w:rsid w:val="006F7D4A"/>
    <w:rsid w:val="0070128A"/>
    <w:rsid w:val="007041A4"/>
    <w:rsid w:val="00710BFC"/>
    <w:rsid w:val="00710C0F"/>
    <w:rsid w:val="0071152A"/>
    <w:rsid w:val="007120CB"/>
    <w:rsid w:val="007127DD"/>
    <w:rsid w:val="00713658"/>
    <w:rsid w:val="0071587E"/>
    <w:rsid w:val="00715E18"/>
    <w:rsid w:val="007163BA"/>
    <w:rsid w:val="007168AC"/>
    <w:rsid w:val="0072180A"/>
    <w:rsid w:val="0072485F"/>
    <w:rsid w:val="00730FD8"/>
    <w:rsid w:val="0073118F"/>
    <w:rsid w:val="00733193"/>
    <w:rsid w:val="00733261"/>
    <w:rsid w:val="00734340"/>
    <w:rsid w:val="007348B9"/>
    <w:rsid w:val="00737A99"/>
    <w:rsid w:val="0074041E"/>
    <w:rsid w:val="007429A1"/>
    <w:rsid w:val="00743C21"/>
    <w:rsid w:val="00744A0B"/>
    <w:rsid w:val="00747987"/>
    <w:rsid w:val="00750577"/>
    <w:rsid w:val="007517FE"/>
    <w:rsid w:val="007577D0"/>
    <w:rsid w:val="00757800"/>
    <w:rsid w:val="007616C4"/>
    <w:rsid w:val="00762DBE"/>
    <w:rsid w:val="0076436D"/>
    <w:rsid w:val="0076517B"/>
    <w:rsid w:val="00766D8A"/>
    <w:rsid w:val="00767544"/>
    <w:rsid w:val="007716AD"/>
    <w:rsid w:val="00773189"/>
    <w:rsid w:val="00773C8A"/>
    <w:rsid w:val="007743FE"/>
    <w:rsid w:val="007745B3"/>
    <w:rsid w:val="007767D8"/>
    <w:rsid w:val="00776D36"/>
    <w:rsid w:val="00780E01"/>
    <w:rsid w:val="00783719"/>
    <w:rsid w:val="0078664F"/>
    <w:rsid w:val="00792604"/>
    <w:rsid w:val="0079274D"/>
    <w:rsid w:val="00792851"/>
    <w:rsid w:val="00794348"/>
    <w:rsid w:val="007A2D36"/>
    <w:rsid w:val="007A54D4"/>
    <w:rsid w:val="007A60C7"/>
    <w:rsid w:val="007B12BE"/>
    <w:rsid w:val="007B5503"/>
    <w:rsid w:val="007B5FAC"/>
    <w:rsid w:val="007B6A8E"/>
    <w:rsid w:val="007C1E56"/>
    <w:rsid w:val="007C223D"/>
    <w:rsid w:val="007C40D8"/>
    <w:rsid w:val="007C68B1"/>
    <w:rsid w:val="007C6EDD"/>
    <w:rsid w:val="007C7857"/>
    <w:rsid w:val="007D0B2D"/>
    <w:rsid w:val="007D4034"/>
    <w:rsid w:val="007D50BA"/>
    <w:rsid w:val="007D528C"/>
    <w:rsid w:val="007D6387"/>
    <w:rsid w:val="007D70DA"/>
    <w:rsid w:val="007E16A2"/>
    <w:rsid w:val="007E4832"/>
    <w:rsid w:val="007E7A1E"/>
    <w:rsid w:val="007F050A"/>
    <w:rsid w:val="007F158A"/>
    <w:rsid w:val="007F1FE5"/>
    <w:rsid w:val="007F255A"/>
    <w:rsid w:val="007F2EE8"/>
    <w:rsid w:val="008025DA"/>
    <w:rsid w:val="00804AF6"/>
    <w:rsid w:val="0080577B"/>
    <w:rsid w:val="0080595A"/>
    <w:rsid w:val="00805E0A"/>
    <w:rsid w:val="00807B07"/>
    <w:rsid w:val="00810DDB"/>
    <w:rsid w:val="00811011"/>
    <w:rsid w:val="00811562"/>
    <w:rsid w:val="00814CCF"/>
    <w:rsid w:val="00814EE0"/>
    <w:rsid w:val="00815536"/>
    <w:rsid w:val="0081622C"/>
    <w:rsid w:val="00816705"/>
    <w:rsid w:val="008168D9"/>
    <w:rsid w:val="00817303"/>
    <w:rsid w:val="00823213"/>
    <w:rsid w:val="008233CD"/>
    <w:rsid w:val="008246B2"/>
    <w:rsid w:val="00824896"/>
    <w:rsid w:val="0082671C"/>
    <w:rsid w:val="00830E57"/>
    <w:rsid w:val="00832777"/>
    <w:rsid w:val="00833F05"/>
    <w:rsid w:val="0083418B"/>
    <w:rsid w:val="008344E5"/>
    <w:rsid w:val="00835E15"/>
    <w:rsid w:val="00837305"/>
    <w:rsid w:val="00837F7E"/>
    <w:rsid w:val="00841F97"/>
    <w:rsid w:val="00843555"/>
    <w:rsid w:val="0084798B"/>
    <w:rsid w:val="00847A33"/>
    <w:rsid w:val="00847FE7"/>
    <w:rsid w:val="00850AE5"/>
    <w:rsid w:val="00851240"/>
    <w:rsid w:val="0085556B"/>
    <w:rsid w:val="00855A4E"/>
    <w:rsid w:val="00855D3B"/>
    <w:rsid w:val="00856CBD"/>
    <w:rsid w:val="00857013"/>
    <w:rsid w:val="0085713E"/>
    <w:rsid w:val="008604D2"/>
    <w:rsid w:val="00860F3C"/>
    <w:rsid w:val="008622AE"/>
    <w:rsid w:val="008631C6"/>
    <w:rsid w:val="00863282"/>
    <w:rsid w:val="00865666"/>
    <w:rsid w:val="0086635E"/>
    <w:rsid w:val="00870671"/>
    <w:rsid w:val="00874C9E"/>
    <w:rsid w:val="00875B98"/>
    <w:rsid w:val="00881548"/>
    <w:rsid w:val="008842D7"/>
    <w:rsid w:val="008843EB"/>
    <w:rsid w:val="00885816"/>
    <w:rsid w:val="00886470"/>
    <w:rsid w:val="008901F6"/>
    <w:rsid w:val="00890377"/>
    <w:rsid w:val="00896CF5"/>
    <w:rsid w:val="00897494"/>
    <w:rsid w:val="008A050A"/>
    <w:rsid w:val="008A1554"/>
    <w:rsid w:val="008A2F26"/>
    <w:rsid w:val="008A2FB3"/>
    <w:rsid w:val="008A49B1"/>
    <w:rsid w:val="008A74F9"/>
    <w:rsid w:val="008B041C"/>
    <w:rsid w:val="008B3046"/>
    <w:rsid w:val="008B667D"/>
    <w:rsid w:val="008C02F8"/>
    <w:rsid w:val="008C15F3"/>
    <w:rsid w:val="008C17C4"/>
    <w:rsid w:val="008C290E"/>
    <w:rsid w:val="008C5D8E"/>
    <w:rsid w:val="008D0C09"/>
    <w:rsid w:val="008D2903"/>
    <w:rsid w:val="008D381A"/>
    <w:rsid w:val="008E2DC9"/>
    <w:rsid w:val="008E5692"/>
    <w:rsid w:val="008F0251"/>
    <w:rsid w:val="00901221"/>
    <w:rsid w:val="00901930"/>
    <w:rsid w:val="00903845"/>
    <w:rsid w:val="00903E97"/>
    <w:rsid w:val="00906988"/>
    <w:rsid w:val="00906A75"/>
    <w:rsid w:val="00907D0B"/>
    <w:rsid w:val="0091077D"/>
    <w:rsid w:val="009155EE"/>
    <w:rsid w:val="009210F3"/>
    <w:rsid w:val="0092116E"/>
    <w:rsid w:val="00921791"/>
    <w:rsid w:val="00922168"/>
    <w:rsid w:val="0092483E"/>
    <w:rsid w:val="00931B41"/>
    <w:rsid w:val="009336FD"/>
    <w:rsid w:val="009338D8"/>
    <w:rsid w:val="00934609"/>
    <w:rsid w:val="00934D79"/>
    <w:rsid w:val="00935E8A"/>
    <w:rsid w:val="00940421"/>
    <w:rsid w:val="009424BB"/>
    <w:rsid w:val="009428FE"/>
    <w:rsid w:val="009439C5"/>
    <w:rsid w:val="00943B3D"/>
    <w:rsid w:val="00944001"/>
    <w:rsid w:val="00944E65"/>
    <w:rsid w:val="00945D7F"/>
    <w:rsid w:val="00946B8B"/>
    <w:rsid w:val="00950B58"/>
    <w:rsid w:val="00951745"/>
    <w:rsid w:val="0095699F"/>
    <w:rsid w:val="009573F3"/>
    <w:rsid w:val="00957CE3"/>
    <w:rsid w:val="0096385C"/>
    <w:rsid w:val="00964A04"/>
    <w:rsid w:val="009653B9"/>
    <w:rsid w:val="00966267"/>
    <w:rsid w:val="00966BC7"/>
    <w:rsid w:val="00970F25"/>
    <w:rsid w:val="00977410"/>
    <w:rsid w:val="00980B5E"/>
    <w:rsid w:val="00984679"/>
    <w:rsid w:val="00985E31"/>
    <w:rsid w:val="00987241"/>
    <w:rsid w:val="0098784D"/>
    <w:rsid w:val="0099072F"/>
    <w:rsid w:val="0099138B"/>
    <w:rsid w:val="0099148E"/>
    <w:rsid w:val="00993A4F"/>
    <w:rsid w:val="00993D98"/>
    <w:rsid w:val="009961ED"/>
    <w:rsid w:val="0099636A"/>
    <w:rsid w:val="009A3764"/>
    <w:rsid w:val="009A475F"/>
    <w:rsid w:val="009A65B2"/>
    <w:rsid w:val="009A7189"/>
    <w:rsid w:val="009B00EB"/>
    <w:rsid w:val="009B5DF9"/>
    <w:rsid w:val="009C0BF3"/>
    <w:rsid w:val="009C53AF"/>
    <w:rsid w:val="009C55AF"/>
    <w:rsid w:val="009C5AE0"/>
    <w:rsid w:val="009C5D22"/>
    <w:rsid w:val="009C655C"/>
    <w:rsid w:val="009C7E84"/>
    <w:rsid w:val="009D13DC"/>
    <w:rsid w:val="009D191B"/>
    <w:rsid w:val="009D3840"/>
    <w:rsid w:val="009E17DA"/>
    <w:rsid w:val="009E2948"/>
    <w:rsid w:val="009E4085"/>
    <w:rsid w:val="009E6564"/>
    <w:rsid w:val="009E6786"/>
    <w:rsid w:val="009E6D8F"/>
    <w:rsid w:val="009F0E7B"/>
    <w:rsid w:val="009F1756"/>
    <w:rsid w:val="009F24F2"/>
    <w:rsid w:val="009F3C54"/>
    <w:rsid w:val="009F4523"/>
    <w:rsid w:val="009F46E3"/>
    <w:rsid w:val="009F5EA2"/>
    <w:rsid w:val="00A00195"/>
    <w:rsid w:val="00A02041"/>
    <w:rsid w:val="00A02A2B"/>
    <w:rsid w:val="00A04252"/>
    <w:rsid w:val="00A04C94"/>
    <w:rsid w:val="00A04C9D"/>
    <w:rsid w:val="00A06624"/>
    <w:rsid w:val="00A07E30"/>
    <w:rsid w:val="00A113AE"/>
    <w:rsid w:val="00A11C9D"/>
    <w:rsid w:val="00A11FD1"/>
    <w:rsid w:val="00A12AA8"/>
    <w:rsid w:val="00A150F6"/>
    <w:rsid w:val="00A15A31"/>
    <w:rsid w:val="00A15ADB"/>
    <w:rsid w:val="00A17A01"/>
    <w:rsid w:val="00A2001A"/>
    <w:rsid w:val="00A206D8"/>
    <w:rsid w:val="00A22A8E"/>
    <w:rsid w:val="00A23683"/>
    <w:rsid w:val="00A23ADE"/>
    <w:rsid w:val="00A24773"/>
    <w:rsid w:val="00A26668"/>
    <w:rsid w:val="00A27712"/>
    <w:rsid w:val="00A27B5F"/>
    <w:rsid w:val="00A35BFC"/>
    <w:rsid w:val="00A379AB"/>
    <w:rsid w:val="00A41876"/>
    <w:rsid w:val="00A41D9A"/>
    <w:rsid w:val="00A4293C"/>
    <w:rsid w:val="00A44A16"/>
    <w:rsid w:val="00A506EF"/>
    <w:rsid w:val="00A526AD"/>
    <w:rsid w:val="00A534EF"/>
    <w:rsid w:val="00A53F56"/>
    <w:rsid w:val="00A549CD"/>
    <w:rsid w:val="00A621C7"/>
    <w:rsid w:val="00A703BF"/>
    <w:rsid w:val="00A74548"/>
    <w:rsid w:val="00A7760F"/>
    <w:rsid w:val="00A776D0"/>
    <w:rsid w:val="00A8619E"/>
    <w:rsid w:val="00A87FBA"/>
    <w:rsid w:val="00A90596"/>
    <w:rsid w:val="00A9094F"/>
    <w:rsid w:val="00A90F73"/>
    <w:rsid w:val="00A920F0"/>
    <w:rsid w:val="00A9361D"/>
    <w:rsid w:val="00A948FA"/>
    <w:rsid w:val="00AA0FE1"/>
    <w:rsid w:val="00AA12DB"/>
    <w:rsid w:val="00AA35F3"/>
    <w:rsid w:val="00AA5C7B"/>
    <w:rsid w:val="00AA76D1"/>
    <w:rsid w:val="00AB0990"/>
    <w:rsid w:val="00AB0C67"/>
    <w:rsid w:val="00AB3E41"/>
    <w:rsid w:val="00AB6B13"/>
    <w:rsid w:val="00AB7135"/>
    <w:rsid w:val="00AC2645"/>
    <w:rsid w:val="00AC41F9"/>
    <w:rsid w:val="00AC6079"/>
    <w:rsid w:val="00AC69D7"/>
    <w:rsid w:val="00AC7F2E"/>
    <w:rsid w:val="00AD059D"/>
    <w:rsid w:val="00AD1F91"/>
    <w:rsid w:val="00AD693C"/>
    <w:rsid w:val="00AE0D2D"/>
    <w:rsid w:val="00AE41F1"/>
    <w:rsid w:val="00AE4813"/>
    <w:rsid w:val="00AE6672"/>
    <w:rsid w:val="00AF187D"/>
    <w:rsid w:val="00AF2769"/>
    <w:rsid w:val="00AF370F"/>
    <w:rsid w:val="00AF503C"/>
    <w:rsid w:val="00AF59D7"/>
    <w:rsid w:val="00AF73D9"/>
    <w:rsid w:val="00B00C39"/>
    <w:rsid w:val="00B06C31"/>
    <w:rsid w:val="00B100D9"/>
    <w:rsid w:val="00B1089C"/>
    <w:rsid w:val="00B13E38"/>
    <w:rsid w:val="00B14C19"/>
    <w:rsid w:val="00B153F2"/>
    <w:rsid w:val="00B1549C"/>
    <w:rsid w:val="00B235BB"/>
    <w:rsid w:val="00B25708"/>
    <w:rsid w:val="00B2689F"/>
    <w:rsid w:val="00B31493"/>
    <w:rsid w:val="00B3487E"/>
    <w:rsid w:val="00B3563B"/>
    <w:rsid w:val="00B35F07"/>
    <w:rsid w:val="00B36984"/>
    <w:rsid w:val="00B3723B"/>
    <w:rsid w:val="00B37D4F"/>
    <w:rsid w:val="00B40E9C"/>
    <w:rsid w:val="00B435C3"/>
    <w:rsid w:val="00B46777"/>
    <w:rsid w:val="00B4764D"/>
    <w:rsid w:val="00B520B6"/>
    <w:rsid w:val="00B53CE6"/>
    <w:rsid w:val="00B64475"/>
    <w:rsid w:val="00B657D5"/>
    <w:rsid w:val="00B72390"/>
    <w:rsid w:val="00B72491"/>
    <w:rsid w:val="00B73032"/>
    <w:rsid w:val="00B73892"/>
    <w:rsid w:val="00B74E6F"/>
    <w:rsid w:val="00B778E4"/>
    <w:rsid w:val="00B84415"/>
    <w:rsid w:val="00B91787"/>
    <w:rsid w:val="00B95FD8"/>
    <w:rsid w:val="00BA0208"/>
    <w:rsid w:val="00BA4D4F"/>
    <w:rsid w:val="00BA5CAA"/>
    <w:rsid w:val="00BA7448"/>
    <w:rsid w:val="00BB146F"/>
    <w:rsid w:val="00BB2A74"/>
    <w:rsid w:val="00BB3928"/>
    <w:rsid w:val="00BB4CEF"/>
    <w:rsid w:val="00BB7080"/>
    <w:rsid w:val="00BB7F0F"/>
    <w:rsid w:val="00BC070A"/>
    <w:rsid w:val="00BC133A"/>
    <w:rsid w:val="00BC3CF4"/>
    <w:rsid w:val="00BC3F15"/>
    <w:rsid w:val="00BC5438"/>
    <w:rsid w:val="00BC77AC"/>
    <w:rsid w:val="00BC781D"/>
    <w:rsid w:val="00BC7977"/>
    <w:rsid w:val="00BC7FC3"/>
    <w:rsid w:val="00BD365E"/>
    <w:rsid w:val="00BD36BE"/>
    <w:rsid w:val="00BD3B28"/>
    <w:rsid w:val="00BE029A"/>
    <w:rsid w:val="00BE1B58"/>
    <w:rsid w:val="00BE453B"/>
    <w:rsid w:val="00BE6DB2"/>
    <w:rsid w:val="00BE7057"/>
    <w:rsid w:val="00BF0E61"/>
    <w:rsid w:val="00BF0FC4"/>
    <w:rsid w:val="00BF2B3F"/>
    <w:rsid w:val="00BF334D"/>
    <w:rsid w:val="00BF7630"/>
    <w:rsid w:val="00C01FEC"/>
    <w:rsid w:val="00C0215E"/>
    <w:rsid w:val="00C02DD7"/>
    <w:rsid w:val="00C0522E"/>
    <w:rsid w:val="00C06BA9"/>
    <w:rsid w:val="00C102E1"/>
    <w:rsid w:val="00C14BD8"/>
    <w:rsid w:val="00C14C17"/>
    <w:rsid w:val="00C15CBC"/>
    <w:rsid w:val="00C166C2"/>
    <w:rsid w:val="00C16A97"/>
    <w:rsid w:val="00C23E04"/>
    <w:rsid w:val="00C23E70"/>
    <w:rsid w:val="00C2428E"/>
    <w:rsid w:val="00C24847"/>
    <w:rsid w:val="00C251E1"/>
    <w:rsid w:val="00C251E8"/>
    <w:rsid w:val="00C26D94"/>
    <w:rsid w:val="00C312FC"/>
    <w:rsid w:val="00C3173C"/>
    <w:rsid w:val="00C34B3F"/>
    <w:rsid w:val="00C357E2"/>
    <w:rsid w:val="00C36DA1"/>
    <w:rsid w:val="00C41755"/>
    <w:rsid w:val="00C43CA5"/>
    <w:rsid w:val="00C47F7E"/>
    <w:rsid w:val="00C5163E"/>
    <w:rsid w:val="00C52100"/>
    <w:rsid w:val="00C52E35"/>
    <w:rsid w:val="00C56803"/>
    <w:rsid w:val="00C60D48"/>
    <w:rsid w:val="00C63DFA"/>
    <w:rsid w:val="00C6446D"/>
    <w:rsid w:val="00C66474"/>
    <w:rsid w:val="00C67585"/>
    <w:rsid w:val="00C701E0"/>
    <w:rsid w:val="00C7072A"/>
    <w:rsid w:val="00C70862"/>
    <w:rsid w:val="00C70BC1"/>
    <w:rsid w:val="00C711BC"/>
    <w:rsid w:val="00C76F59"/>
    <w:rsid w:val="00C8052A"/>
    <w:rsid w:val="00C81CE0"/>
    <w:rsid w:val="00C84405"/>
    <w:rsid w:val="00C84B63"/>
    <w:rsid w:val="00C869D8"/>
    <w:rsid w:val="00C903F2"/>
    <w:rsid w:val="00C92165"/>
    <w:rsid w:val="00C94F00"/>
    <w:rsid w:val="00C97171"/>
    <w:rsid w:val="00C97CF4"/>
    <w:rsid w:val="00CA0B44"/>
    <w:rsid w:val="00CA1D39"/>
    <w:rsid w:val="00CA35F5"/>
    <w:rsid w:val="00CA366C"/>
    <w:rsid w:val="00CA41A9"/>
    <w:rsid w:val="00CA42EF"/>
    <w:rsid w:val="00CA4AFE"/>
    <w:rsid w:val="00CA525F"/>
    <w:rsid w:val="00CB09F4"/>
    <w:rsid w:val="00CB3B96"/>
    <w:rsid w:val="00CB4745"/>
    <w:rsid w:val="00CB4971"/>
    <w:rsid w:val="00CB4D26"/>
    <w:rsid w:val="00CB650A"/>
    <w:rsid w:val="00CB6A5F"/>
    <w:rsid w:val="00CC02BB"/>
    <w:rsid w:val="00CC07B5"/>
    <w:rsid w:val="00CC0D84"/>
    <w:rsid w:val="00CC0F2A"/>
    <w:rsid w:val="00CC15DD"/>
    <w:rsid w:val="00CC19A1"/>
    <w:rsid w:val="00CC1CAC"/>
    <w:rsid w:val="00CC3B60"/>
    <w:rsid w:val="00CC4B10"/>
    <w:rsid w:val="00CC7842"/>
    <w:rsid w:val="00CD27FD"/>
    <w:rsid w:val="00CD413B"/>
    <w:rsid w:val="00CD564F"/>
    <w:rsid w:val="00CD7C52"/>
    <w:rsid w:val="00CE13E5"/>
    <w:rsid w:val="00CE17C8"/>
    <w:rsid w:val="00CE43B4"/>
    <w:rsid w:val="00CE4CC0"/>
    <w:rsid w:val="00CE4F86"/>
    <w:rsid w:val="00CE6C83"/>
    <w:rsid w:val="00CE703A"/>
    <w:rsid w:val="00CF1563"/>
    <w:rsid w:val="00CF2A95"/>
    <w:rsid w:val="00CF5D90"/>
    <w:rsid w:val="00CF6568"/>
    <w:rsid w:val="00CF6EA3"/>
    <w:rsid w:val="00D0081F"/>
    <w:rsid w:val="00D0197F"/>
    <w:rsid w:val="00D02995"/>
    <w:rsid w:val="00D02D47"/>
    <w:rsid w:val="00D04B0C"/>
    <w:rsid w:val="00D06883"/>
    <w:rsid w:val="00D10ECE"/>
    <w:rsid w:val="00D11A1B"/>
    <w:rsid w:val="00D1523E"/>
    <w:rsid w:val="00D156A9"/>
    <w:rsid w:val="00D1585E"/>
    <w:rsid w:val="00D15C7C"/>
    <w:rsid w:val="00D16248"/>
    <w:rsid w:val="00D165E9"/>
    <w:rsid w:val="00D16CA5"/>
    <w:rsid w:val="00D170AD"/>
    <w:rsid w:val="00D173DB"/>
    <w:rsid w:val="00D2016F"/>
    <w:rsid w:val="00D216D1"/>
    <w:rsid w:val="00D239E4"/>
    <w:rsid w:val="00D279C8"/>
    <w:rsid w:val="00D3052A"/>
    <w:rsid w:val="00D321DE"/>
    <w:rsid w:val="00D35691"/>
    <w:rsid w:val="00D370A9"/>
    <w:rsid w:val="00D37C60"/>
    <w:rsid w:val="00D400E9"/>
    <w:rsid w:val="00D40C43"/>
    <w:rsid w:val="00D452B3"/>
    <w:rsid w:val="00D5111F"/>
    <w:rsid w:val="00D516AF"/>
    <w:rsid w:val="00D60061"/>
    <w:rsid w:val="00D6131B"/>
    <w:rsid w:val="00D61BAA"/>
    <w:rsid w:val="00D62C4E"/>
    <w:rsid w:val="00D63744"/>
    <w:rsid w:val="00D63DEE"/>
    <w:rsid w:val="00D66C1B"/>
    <w:rsid w:val="00D6779C"/>
    <w:rsid w:val="00D67D45"/>
    <w:rsid w:val="00D7081E"/>
    <w:rsid w:val="00D74284"/>
    <w:rsid w:val="00D77696"/>
    <w:rsid w:val="00D77EC8"/>
    <w:rsid w:val="00D81493"/>
    <w:rsid w:val="00D81C87"/>
    <w:rsid w:val="00D822E1"/>
    <w:rsid w:val="00D82E88"/>
    <w:rsid w:val="00D83389"/>
    <w:rsid w:val="00D8623B"/>
    <w:rsid w:val="00D91CF5"/>
    <w:rsid w:val="00D93702"/>
    <w:rsid w:val="00D961B1"/>
    <w:rsid w:val="00D97B18"/>
    <w:rsid w:val="00DA0CB6"/>
    <w:rsid w:val="00DA1CCB"/>
    <w:rsid w:val="00DA356F"/>
    <w:rsid w:val="00DA3A3D"/>
    <w:rsid w:val="00DA3E89"/>
    <w:rsid w:val="00DA49B7"/>
    <w:rsid w:val="00DA4D52"/>
    <w:rsid w:val="00DA56A9"/>
    <w:rsid w:val="00DB193A"/>
    <w:rsid w:val="00DB31FB"/>
    <w:rsid w:val="00DB5B12"/>
    <w:rsid w:val="00DB74AF"/>
    <w:rsid w:val="00DC0E4C"/>
    <w:rsid w:val="00DC1EDD"/>
    <w:rsid w:val="00DC4D54"/>
    <w:rsid w:val="00DC7323"/>
    <w:rsid w:val="00DD0B41"/>
    <w:rsid w:val="00DD13D4"/>
    <w:rsid w:val="00DD350F"/>
    <w:rsid w:val="00DD56B6"/>
    <w:rsid w:val="00DD5E95"/>
    <w:rsid w:val="00DD6652"/>
    <w:rsid w:val="00DE02E3"/>
    <w:rsid w:val="00DE0516"/>
    <w:rsid w:val="00DE4209"/>
    <w:rsid w:val="00DE46CE"/>
    <w:rsid w:val="00DE62CA"/>
    <w:rsid w:val="00DE6DE9"/>
    <w:rsid w:val="00DF0115"/>
    <w:rsid w:val="00DF0727"/>
    <w:rsid w:val="00DF26E0"/>
    <w:rsid w:val="00DF4ACF"/>
    <w:rsid w:val="00DF5B76"/>
    <w:rsid w:val="00DF5D3F"/>
    <w:rsid w:val="00DF6C5E"/>
    <w:rsid w:val="00E00964"/>
    <w:rsid w:val="00E0230D"/>
    <w:rsid w:val="00E02FEB"/>
    <w:rsid w:val="00E05E6F"/>
    <w:rsid w:val="00E114EA"/>
    <w:rsid w:val="00E13019"/>
    <w:rsid w:val="00E17348"/>
    <w:rsid w:val="00E25929"/>
    <w:rsid w:val="00E2631A"/>
    <w:rsid w:val="00E27042"/>
    <w:rsid w:val="00E334EC"/>
    <w:rsid w:val="00E337A1"/>
    <w:rsid w:val="00E3594B"/>
    <w:rsid w:val="00E36BE8"/>
    <w:rsid w:val="00E372A2"/>
    <w:rsid w:val="00E41B25"/>
    <w:rsid w:val="00E43244"/>
    <w:rsid w:val="00E43664"/>
    <w:rsid w:val="00E4411C"/>
    <w:rsid w:val="00E44CD2"/>
    <w:rsid w:val="00E45287"/>
    <w:rsid w:val="00E470D9"/>
    <w:rsid w:val="00E47D72"/>
    <w:rsid w:val="00E5146E"/>
    <w:rsid w:val="00E517BA"/>
    <w:rsid w:val="00E51B2A"/>
    <w:rsid w:val="00E566E0"/>
    <w:rsid w:val="00E5792E"/>
    <w:rsid w:val="00E6042D"/>
    <w:rsid w:val="00E60CF0"/>
    <w:rsid w:val="00E61222"/>
    <w:rsid w:val="00E64C44"/>
    <w:rsid w:val="00E65568"/>
    <w:rsid w:val="00E67352"/>
    <w:rsid w:val="00E706F2"/>
    <w:rsid w:val="00E7180F"/>
    <w:rsid w:val="00E77EE0"/>
    <w:rsid w:val="00E80A98"/>
    <w:rsid w:val="00E80FC7"/>
    <w:rsid w:val="00E8503D"/>
    <w:rsid w:val="00E87D0A"/>
    <w:rsid w:val="00E91040"/>
    <w:rsid w:val="00E91286"/>
    <w:rsid w:val="00E9374C"/>
    <w:rsid w:val="00E94617"/>
    <w:rsid w:val="00E96116"/>
    <w:rsid w:val="00E965F2"/>
    <w:rsid w:val="00EB386E"/>
    <w:rsid w:val="00EB465F"/>
    <w:rsid w:val="00EB4BFD"/>
    <w:rsid w:val="00EB5052"/>
    <w:rsid w:val="00EB53C5"/>
    <w:rsid w:val="00EC361D"/>
    <w:rsid w:val="00EC45E1"/>
    <w:rsid w:val="00EC52F6"/>
    <w:rsid w:val="00ED0AFE"/>
    <w:rsid w:val="00ED1A89"/>
    <w:rsid w:val="00ED1DFF"/>
    <w:rsid w:val="00ED2D6E"/>
    <w:rsid w:val="00ED32F0"/>
    <w:rsid w:val="00ED3637"/>
    <w:rsid w:val="00ED51C8"/>
    <w:rsid w:val="00ED5444"/>
    <w:rsid w:val="00ED5A81"/>
    <w:rsid w:val="00ED6327"/>
    <w:rsid w:val="00EE2908"/>
    <w:rsid w:val="00EF0BF6"/>
    <w:rsid w:val="00EF1A64"/>
    <w:rsid w:val="00EF5573"/>
    <w:rsid w:val="00F03BED"/>
    <w:rsid w:val="00F05FB4"/>
    <w:rsid w:val="00F06F62"/>
    <w:rsid w:val="00F10709"/>
    <w:rsid w:val="00F12D80"/>
    <w:rsid w:val="00F1334E"/>
    <w:rsid w:val="00F13E67"/>
    <w:rsid w:val="00F1592C"/>
    <w:rsid w:val="00F15E20"/>
    <w:rsid w:val="00F1691A"/>
    <w:rsid w:val="00F2406E"/>
    <w:rsid w:val="00F25EB3"/>
    <w:rsid w:val="00F26134"/>
    <w:rsid w:val="00F2649D"/>
    <w:rsid w:val="00F27527"/>
    <w:rsid w:val="00F27B16"/>
    <w:rsid w:val="00F368AD"/>
    <w:rsid w:val="00F36CD1"/>
    <w:rsid w:val="00F41596"/>
    <w:rsid w:val="00F41B2F"/>
    <w:rsid w:val="00F42E0A"/>
    <w:rsid w:val="00F450F3"/>
    <w:rsid w:val="00F451A3"/>
    <w:rsid w:val="00F45BA3"/>
    <w:rsid w:val="00F479E1"/>
    <w:rsid w:val="00F53CEF"/>
    <w:rsid w:val="00F54D87"/>
    <w:rsid w:val="00F55124"/>
    <w:rsid w:val="00F5681C"/>
    <w:rsid w:val="00F56997"/>
    <w:rsid w:val="00F572B2"/>
    <w:rsid w:val="00F602A2"/>
    <w:rsid w:val="00F60702"/>
    <w:rsid w:val="00F60D8B"/>
    <w:rsid w:val="00F63DE7"/>
    <w:rsid w:val="00F645A4"/>
    <w:rsid w:val="00F65E19"/>
    <w:rsid w:val="00F65EE6"/>
    <w:rsid w:val="00F7141A"/>
    <w:rsid w:val="00F714BC"/>
    <w:rsid w:val="00F81B3D"/>
    <w:rsid w:val="00F821BE"/>
    <w:rsid w:val="00F86F6E"/>
    <w:rsid w:val="00F8725D"/>
    <w:rsid w:val="00F87A84"/>
    <w:rsid w:val="00F87ECB"/>
    <w:rsid w:val="00F900F8"/>
    <w:rsid w:val="00F9226A"/>
    <w:rsid w:val="00F92417"/>
    <w:rsid w:val="00F94518"/>
    <w:rsid w:val="00F95A57"/>
    <w:rsid w:val="00F9640F"/>
    <w:rsid w:val="00FA14A5"/>
    <w:rsid w:val="00FA3BE4"/>
    <w:rsid w:val="00FA4218"/>
    <w:rsid w:val="00FA573F"/>
    <w:rsid w:val="00FA629D"/>
    <w:rsid w:val="00FA660F"/>
    <w:rsid w:val="00FB2258"/>
    <w:rsid w:val="00FB358C"/>
    <w:rsid w:val="00FB3C90"/>
    <w:rsid w:val="00FB441E"/>
    <w:rsid w:val="00FB5818"/>
    <w:rsid w:val="00FC4807"/>
    <w:rsid w:val="00FC6F23"/>
    <w:rsid w:val="00FC71D7"/>
    <w:rsid w:val="00FC768F"/>
    <w:rsid w:val="00FD020D"/>
    <w:rsid w:val="00FD0EAB"/>
    <w:rsid w:val="00FD0EDD"/>
    <w:rsid w:val="00FD5FB3"/>
    <w:rsid w:val="00FD61A4"/>
    <w:rsid w:val="00FD73EE"/>
    <w:rsid w:val="00FD7F42"/>
    <w:rsid w:val="00FE0084"/>
    <w:rsid w:val="00FE0847"/>
    <w:rsid w:val="00FE16C3"/>
    <w:rsid w:val="00FE6112"/>
    <w:rsid w:val="00FE6264"/>
    <w:rsid w:val="00FF0BC3"/>
    <w:rsid w:val="00FF1CCE"/>
    <w:rsid w:val="00FF3135"/>
    <w:rsid w:val="00FF6AF7"/>
    <w:rsid w:val="00FF743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E97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CD8"/>
    <w:pPr>
      <w:spacing w:after="240" w:line="288" w:lineRule="auto"/>
      <w:jc w:val="both"/>
    </w:pPr>
    <w:rPr>
      <w:rFonts w:asciiTheme="majorHAnsi" w:hAnsiTheme="majorHAnsi"/>
      <w:color w:val="373737" w:themeColor="background2" w:themeShade="40"/>
      <w:sz w:val="22"/>
    </w:rPr>
  </w:style>
  <w:style w:type="paragraph" w:styleId="Ttulo1">
    <w:name w:val="heading 1"/>
    <w:basedOn w:val="Normal"/>
    <w:next w:val="Normal"/>
    <w:link w:val="Ttulo1Car"/>
    <w:uiPriority w:val="9"/>
    <w:qFormat/>
    <w:rsid w:val="00C0522E"/>
    <w:pPr>
      <w:pageBreakBefore/>
      <w:numPr>
        <w:numId w:val="3"/>
      </w:numPr>
      <w:suppressAutoHyphens/>
      <w:spacing w:before="1200" w:after="800" w:line="720" w:lineRule="exact"/>
      <w:jc w:val="left"/>
      <w:outlineLvl w:val="0"/>
    </w:pPr>
    <w:rPr>
      <w:color w:val="E2231A" w:themeColor="accent1"/>
      <w:sz w:val="52"/>
      <w:szCs w:val="80"/>
    </w:rPr>
  </w:style>
  <w:style w:type="paragraph" w:styleId="Ttulo2">
    <w:name w:val="heading 2"/>
    <w:basedOn w:val="Normal"/>
    <w:next w:val="Normal"/>
    <w:link w:val="Ttulo2Car"/>
    <w:uiPriority w:val="9"/>
    <w:unhideWhenUsed/>
    <w:qFormat/>
    <w:rsid w:val="00C0522E"/>
    <w:pPr>
      <w:keepNext/>
      <w:keepLines/>
      <w:numPr>
        <w:ilvl w:val="1"/>
        <w:numId w:val="3"/>
      </w:numPr>
      <w:spacing w:before="480" w:line="360" w:lineRule="exact"/>
      <w:jc w:val="left"/>
      <w:outlineLvl w:val="1"/>
    </w:pPr>
    <w:rPr>
      <w:rFonts w:eastAsiaTheme="majorEastAsia" w:cstheme="majorBidi"/>
      <w:b/>
      <w:color w:val="E2231A" w:themeColor="accent1"/>
      <w:sz w:val="32"/>
      <w:szCs w:val="32"/>
      <w:lang w:val="es-ES" w:eastAsia="es-ES"/>
    </w:rPr>
  </w:style>
  <w:style w:type="paragraph" w:styleId="Ttulo3">
    <w:name w:val="heading 3"/>
    <w:basedOn w:val="Ttulo2"/>
    <w:next w:val="Normal"/>
    <w:link w:val="Ttulo3Car"/>
    <w:uiPriority w:val="9"/>
    <w:unhideWhenUsed/>
    <w:qFormat/>
    <w:rsid w:val="00C01FEC"/>
    <w:pPr>
      <w:numPr>
        <w:ilvl w:val="2"/>
      </w:numPr>
      <w:spacing w:before="40"/>
      <w:ind w:left="0"/>
      <w:outlineLvl w:val="2"/>
    </w:pPr>
    <w:rPr>
      <w:b w:val="0"/>
      <w:color w:val="5E5E5E" w:themeColor="text2"/>
    </w:rPr>
  </w:style>
  <w:style w:type="paragraph" w:styleId="Ttulo4">
    <w:name w:val="heading 4"/>
    <w:basedOn w:val="Normal"/>
    <w:next w:val="Normal"/>
    <w:link w:val="Ttulo4Car"/>
    <w:uiPriority w:val="9"/>
    <w:unhideWhenUsed/>
    <w:qFormat/>
    <w:rsid w:val="00D16248"/>
    <w:pPr>
      <w:keepNext/>
      <w:keepLines/>
      <w:spacing w:before="40" w:after="0"/>
      <w:outlineLvl w:val="3"/>
    </w:pPr>
    <w:rPr>
      <w:rFonts w:eastAsiaTheme="majorEastAsia" w:cstheme="majorBidi"/>
      <w:i/>
      <w:iCs/>
      <w:color w:val="A91913"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522E"/>
    <w:rPr>
      <w:rFonts w:asciiTheme="majorHAnsi" w:hAnsiTheme="majorHAnsi"/>
      <w:color w:val="E2231A" w:themeColor="accent1"/>
      <w:sz w:val="52"/>
      <w:szCs w:val="80"/>
    </w:rPr>
  </w:style>
  <w:style w:type="character" w:customStyle="1" w:styleId="Ttulo2Car">
    <w:name w:val="Título 2 Car"/>
    <w:basedOn w:val="Fuentedeprrafopredeter"/>
    <w:link w:val="Ttulo2"/>
    <w:uiPriority w:val="9"/>
    <w:rsid w:val="00C0522E"/>
    <w:rPr>
      <w:rFonts w:asciiTheme="majorHAnsi" w:eastAsiaTheme="majorEastAsia" w:hAnsiTheme="majorHAnsi" w:cstheme="majorBidi"/>
      <w:b/>
      <w:color w:val="E2231A" w:themeColor="accent1"/>
      <w:sz w:val="32"/>
      <w:szCs w:val="32"/>
      <w:lang w:val="es-ES" w:eastAsia="es-ES"/>
    </w:rPr>
  </w:style>
  <w:style w:type="paragraph" w:styleId="Encabezado">
    <w:name w:val="header"/>
    <w:basedOn w:val="Normal"/>
    <w:link w:val="EncabezadoCar"/>
    <w:uiPriority w:val="99"/>
    <w:unhideWhenUsed/>
    <w:rsid w:val="00C56803"/>
    <w:pPr>
      <w:tabs>
        <w:tab w:val="center" w:pos="4252"/>
        <w:tab w:val="right" w:pos="8504"/>
      </w:tabs>
    </w:pPr>
  </w:style>
  <w:style w:type="character" w:customStyle="1" w:styleId="EncabezadoCar">
    <w:name w:val="Encabezado Car"/>
    <w:basedOn w:val="Fuentedeprrafopredeter"/>
    <w:link w:val="Encabezado"/>
    <w:uiPriority w:val="99"/>
    <w:rsid w:val="00C56803"/>
    <w:rPr>
      <w:rFonts w:asciiTheme="majorHAnsi" w:hAnsiTheme="majorHAnsi"/>
      <w:color w:val="373737" w:themeColor="background2" w:themeShade="40"/>
      <w:sz w:val="22"/>
    </w:rPr>
  </w:style>
  <w:style w:type="paragraph" w:styleId="Piedepgina">
    <w:name w:val="footer"/>
    <w:basedOn w:val="Normal"/>
    <w:link w:val="PiedepginaCar"/>
    <w:uiPriority w:val="99"/>
    <w:unhideWhenUsed/>
    <w:qFormat/>
    <w:rsid w:val="00622A66"/>
    <w:pPr>
      <w:tabs>
        <w:tab w:val="center" w:pos="4252"/>
        <w:tab w:val="right" w:pos="8504"/>
      </w:tabs>
      <w:jc w:val="right"/>
    </w:pPr>
    <w:rPr>
      <w:sz w:val="18"/>
    </w:rPr>
  </w:style>
  <w:style w:type="character" w:customStyle="1" w:styleId="PiedepginaCar">
    <w:name w:val="Pie de página Car"/>
    <w:basedOn w:val="Fuentedeprrafopredeter"/>
    <w:link w:val="Piedepgina"/>
    <w:uiPriority w:val="99"/>
    <w:rsid w:val="00622A66"/>
    <w:rPr>
      <w:rFonts w:asciiTheme="majorHAnsi" w:hAnsiTheme="majorHAnsi"/>
      <w:color w:val="373737" w:themeColor="background2" w:themeShade="40"/>
      <w:sz w:val="18"/>
    </w:rPr>
  </w:style>
  <w:style w:type="paragraph" w:customStyle="1" w:styleId="Prrafobsico">
    <w:name w:val="[Párrafo básico]"/>
    <w:basedOn w:val="Normal"/>
    <w:uiPriority w:val="99"/>
    <w:rsid w:val="00C56803"/>
    <w:pPr>
      <w:widowControl w:val="0"/>
      <w:autoSpaceDE w:val="0"/>
      <w:autoSpaceDN w:val="0"/>
      <w:adjustRightInd w:val="0"/>
      <w:textAlignment w:val="center"/>
    </w:pPr>
    <w:rPr>
      <w:rFonts w:ascii="MinionPro-Regular" w:hAnsi="MinionPro-Regular" w:cs="MinionPro-Regular"/>
      <w:color w:val="000000"/>
    </w:rPr>
  </w:style>
  <w:style w:type="paragraph" w:styleId="Ttulo">
    <w:name w:val="Title"/>
    <w:basedOn w:val="Normal"/>
    <w:next w:val="Normal"/>
    <w:link w:val="TtuloCar"/>
    <w:uiPriority w:val="10"/>
    <w:qFormat/>
    <w:rsid w:val="00C0522E"/>
    <w:pPr>
      <w:spacing w:line="800" w:lineRule="exact"/>
      <w:jc w:val="left"/>
    </w:pPr>
    <w:rPr>
      <w:color w:val="E2231A" w:themeColor="accent1"/>
      <w:sz w:val="80"/>
      <w:szCs w:val="80"/>
    </w:rPr>
  </w:style>
  <w:style w:type="character" w:customStyle="1" w:styleId="TtuloCar">
    <w:name w:val="Título Car"/>
    <w:basedOn w:val="Fuentedeprrafopredeter"/>
    <w:link w:val="Ttulo"/>
    <w:uiPriority w:val="10"/>
    <w:rsid w:val="00C0522E"/>
    <w:rPr>
      <w:rFonts w:asciiTheme="majorHAnsi" w:hAnsiTheme="majorHAnsi"/>
      <w:color w:val="E2231A" w:themeColor="accent1"/>
      <w:sz w:val="80"/>
      <w:szCs w:val="80"/>
    </w:rPr>
  </w:style>
  <w:style w:type="paragraph" w:styleId="TDC1">
    <w:name w:val="toc 1"/>
    <w:basedOn w:val="Normal"/>
    <w:next w:val="Normal"/>
    <w:uiPriority w:val="39"/>
    <w:qFormat/>
    <w:rsid w:val="00850AE5"/>
    <w:pPr>
      <w:tabs>
        <w:tab w:val="left" w:pos="567"/>
        <w:tab w:val="decimal" w:pos="9498"/>
      </w:tabs>
      <w:spacing w:before="120" w:after="0"/>
    </w:pPr>
    <w:rPr>
      <w:rFonts w:cs="Times New Roman"/>
      <w:noProof/>
      <w:sz w:val="24"/>
      <w:szCs w:val="20"/>
      <w:lang w:val="es-ES" w:eastAsia="es-ES"/>
    </w:rPr>
  </w:style>
  <w:style w:type="character" w:styleId="Hipervnculo">
    <w:name w:val="Hyperlink"/>
    <w:uiPriority w:val="99"/>
    <w:qFormat/>
    <w:rsid w:val="009A65B2"/>
    <w:rPr>
      <w:rFonts w:asciiTheme="majorHAnsi" w:hAnsiTheme="majorHAnsi"/>
      <w:color w:val="009BB7" w:themeColor="accent6"/>
      <w:sz w:val="22"/>
      <w:u w:val="single"/>
    </w:rPr>
  </w:style>
  <w:style w:type="paragraph" w:customStyle="1" w:styleId="Ttulondice">
    <w:name w:val="Título Índice"/>
    <w:next w:val="Normal"/>
    <w:link w:val="TtulondiceCar"/>
    <w:qFormat/>
    <w:rsid w:val="00C56803"/>
    <w:pPr>
      <w:spacing w:before="1200" w:after="800" w:line="800" w:lineRule="exact"/>
    </w:pPr>
    <w:rPr>
      <w:rFonts w:asciiTheme="majorHAnsi" w:eastAsia="Times New Roman" w:hAnsiTheme="majorHAnsi" w:cs="Times New Roman"/>
      <w:color w:val="E2231A" w:themeColor="accent1"/>
      <w:sz w:val="72"/>
      <w:szCs w:val="20"/>
      <w:lang w:val="es-ES" w:eastAsia="es-ES"/>
    </w:rPr>
  </w:style>
  <w:style w:type="character" w:customStyle="1" w:styleId="TtulondiceCar">
    <w:name w:val="Título Índice Car"/>
    <w:link w:val="Ttulondice"/>
    <w:rsid w:val="00C56803"/>
    <w:rPr>
      <w:rFonts w:asciiTheme="majorHAnsi" w:eastAsia="Times New Roman" w:hAnsiTheme="majorHAnsi" w:cs="Times New Roman"/>
      <w:color w:val="E2231A" w:themeColor="accent1"/>
      <w:sz w:val="72"/>
      <w:szCs w:val="20"/>
      <w:lang w:val="es-ES" w:eastAsia="es-ES"/>
    </w:rPr>
  </w:style>
  <w:style w:type="character" w:styleId="Nmerodepgina">
    <w:name w:val="page number"/>
    <w:basedOn w:val="Fuentedeprrafopredeter"/>
    <w:uiPriority w:val="99"/>
    <w:semiHidden/>
    <w:unhideWhenUsed/>
    <w:rsid w:val="00C56803"/>
  </w:style>
  <w:style w:type="character" w:styleId="Referenciasutil">
    <w:name w:val="Subtle Reference"/>
    <w:uiPriority w:val="31"/>
    <w:qFormat/>
    <w:rsid w:val="00181D86"/>
    <w:rPr>
      <w:rFonts w:cs="Calibri-Light"/>
      <w:sz w:val="18"/>
      <w:szCs w:val="18"/>
    </w:rPr>
  </w:style>
  <w:style w:type="character" w:styleId="Referenciaintensa">
    <w:name w:val="Intense Reference"/>
    <w:basedOn w:val="Fuentedeprrafopredeter"/>
    <w:uiPriority w:val="32"/>
    <w:qFormat/>
    <w:rsid w:val="00C56803"/>
    <w:rPr>
      <w:rFonts w:asciiTheme="minorHAnsi" w:hAnsiTheme="minorHAnsi"/>
      <w:b/>
      <w:bCs/>
      <w:i w:val="0"/>
      <w:caps w:val="0"/>
      <w:smallCaps w:val="0"/>
      <w:strike w:val="0"/>
      <w:dstrike w:val="0"/>
      <w:vanish w:val="0"/>
      <w:color w:val="E2231A" w:themeColor="accent1"/>
      <w:spacing w:val="0"/>
      <w:w w:val="100"/>
      <w:position w:val="0"/>
      <w:sz w:val="22"/>
      <w:u w:val="none"/>
      <w:bdr w:val="none" w:sz="0" w:space="0" w:color="auto"/>
      <w:vertAlign w:val="baseline"/>
    </w:rPr>
  </w:style>
  <w:style w:type="paragraph" w:customStyle="1" w:styleId="CintilloBlanco">
    <w:name w:val="Cintillo Blanco"/>
    <w:basedOn w:val="Normal"/>
    <w:qFormat/>
    <w:rsid w:val="002055A5"/>
    <w:pPr>
      <w:spacing w:after="0" w:line="280" w:lineRule="exact"/>
    </w:pPr>
    <w:rPr>
      <w:rFonts w:asciiTheme="minorHAnsi" w:hAnsiTheme="minorHAnsi"/>
      <w:caps/>
      <w:color w:val="FFFFFF" w:themeColor="background1"/>
      <w:sz w:val="24"/>
      <w:lang w:val="es-ES"/>
    </w:rPr>
  </w:style>
  <w:style w:type="paragraph" w:customStyle="1" w:styleId="CintilloNegro">
    <w:name w:val="Cintillo Negro"/>
    <w:basedOn w:val="CintilloBlanco"/>
    <w:qFormat/>
    <w:rsid w:val="003873A0"/>
    <w:rPr>
      <w:color w:val="373737" w:themeColor="background2" w:themeShade="40"/>
      <w:sz w:val="20"/>
      <w:szCs w:val="20"/>
    </w:rPr>
  </w:style>
  <w:style w:type="paragraph" w:customStyle="1" w:styleId="Rango1Tablas">
    <w:name w:val="Rango 1 Tablas"/>
    <w:basedOn w:val="Piedepgina"/>
    <w:next w:val="Normal"/>
    <w:qFormat/>
    <w:rsid w:val="00C56803"/>
    <w:pPr>
      <w:spacing w:after="0" w:line="240" w:lineRule="auto"/>
    </w:pPr>
    <w:rPr>
      <w:rFonts w:asciiTheme="minorHAnsi" w:hAnsiTheme="minorHAnsi"/>
      <w:bCs/>
      <w:color w:val="E2231A" w:themeColor="accent1"/>
      <w:sz w:val="19"/>
      <w:szCs w:val="19"/>
      <w:lang w:eastAsia="es-ES_tradnl"/>
    </w:rPr>
  </w:style>
  <w:style w:type="paragraph" w:styleId="Prrafodelista">
    <w:name w:val="List Paragraph"/>
    <w:basedOn w:val="Normal"/>
    <w:uiPriority w:val="34"/>
    <w:qFormat/>
    <w:rsid w:val="0072485F"/>
    <w:pPr>
      <w:numPr>
        <w:numId w:val="1"/>
      </w:numPr>
      <w:spacing w:before="100" w:beforeAutospacing="1" w:after="100" w:afterAutospacing="1"/>
      <w:contextualSpacing/>
    </w:pPr>
    <w:rPr>
      <w:lang w:eastAsia="es-ES_tradnl"/>
    </w:rPr>
  </w:style>
  <w:style w:type="paragraph" w:customStyle="1" w:styleId="DatosTabla">
    <w:name w:val="Datos Tabla"/>
    <w:basedOn w:val="Piedepgina"/>
    <w:next w:val="Normal"/>
    <w:qFormat/>
    <w:rsid w:val="00C56803"/>
    <w:pPr>
      <w:spacing w:after="0" w:line="240" w:lineRule="auto"/>
    </w:pPr>
  </w:style>
  <w:style w:type="paragraph" w:customStyle="1" w:styleId="TtuloTablas">
    <w:name w:val="Título Tablas"/>
    <w:basedOn w:val="Normal"/>
    <w:next w:val="Normal"/>
    <w:qFormat/>
    <w:rsid w:val="009E6D8F"/>
    <w:pPr>
      <w:spacing w:before="360" w:after="0"/>
    </w:pPr>
    <w:rPr>
      <w:rFonts w:asciiTheme="minorHAnsi" w:hAnsiTheme="minorHAnsi"/>
      <w:b/>
      <w:caps/>
      <w:color w:val="9D9A9D" w:themeColor="accent5"/>
    </w:rPr>
  </w:style>
  <w:style w:type="table" w:styleId="Tabladelista2-nfasis1">
    <w:name w:val="List Table 2 Accent 1"/>
    <w:basedOn w:val="Tablanormal"/>
    <w:uiPriority w:val="47"/>
    <w:rsid w:val="00C56803"/>
    <w:tblPr>
      <w:tblStyleRowBandSize w:val="1"/>
      <w:tblStyleColBandSize w:val="1"/>
      <w:tblBorders>
        <w:top w:val="single" w:sz="4" w:space="0" w:color="EF7974" w:themeColor="accent1" w:themeTint="99"/>
        <w:bottom w:val="single" w:sz="4" w:space="0" w:color="EF7974" w:themeColor="accent1" w:themeTint="99"/>
        <w:insideH w:val="single" w:sz="4" w:space="0" w:color="EF797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paragraph" w:customStyle="1" w:styleId="Destacado">
    <w:name w:val="Destacado"/>
    <w:basedOn w:val="Normal"/>
    <w:next w:val="Normal"/>
    <w:qFormat/>
    <w:rsid w:val="008A2FB3"/>
    <w:pPr>
      <w:spacing w:after="960" w:line="420" w:lineRule="exact"/>
      <w:ind w:right="1418"/>
      <w:contextualSpacing/>
      <w:jc w:val="left"/>
    </w:pPr>
    <w:rPr>
      <w:rFonts w:asciiTheme="minorHAnsi" w:hAnsiTheme="minorHAnsi" w:cstheme="minorHAnsi"/>
      <w:i/>
      <w:color w:val="9D9A9D" w:themeColor="accent5"/>
      <w:sz w:val="28"/>
      <w:szCs w:val="32"/>
      <w:lang w:eastAsia="es-ES_tradnl"/>
    </w:rPr>
  </w:style>
  <w:style w:type="paragraph" w:styleId="Textonotapie">
    <w:name w:val="footnote text"/>
    <w:basedOn w:val="Normal"/>
    <w:link w:val="TextonotapieCar"/>
    <w:uiPriority w:val="99"/>
    <w:unhideWhenUsed/>
    <w:qFormat/>
    <w:rsid w:val="00C56803"/>
    <w:pPr>
      <w:spacing w:after="0" w:line="240" w:lineRule="auto"/>
    </w:pPr>
    <w:rPr>
      <w:sz w:val="16"/>
    </w:rPr>
  </w:style>
  <w:style w:type="character" w:customStyle="1" w:styleId="TextonotapieCar">
    <w:name w:val="Texto nota pie Car"/>
    <w:basedOn w:val="Fuentedeprrafopredeter"/>
    <w:link w:val="Textonotapie"/>
    <w:uiPriority w:val="99"/>
    <w:rsid w:val="00C56803"/>
    <w:rPr>
      <w:rFonts w:asciiTheme="majorHAnsi" w:hAnsiTheme="majorHAnsi"/>
      <w:color w:val="373737" w:themeColor="background2" w:themeShade="40"/>
      <w:sz w:val="16"/>
    </w:rPr>
  </w:style>
  <w:style w:type="character" w:styleId="Refdenotaalpie">
    <w:name w:val="footnote reference"/>
    <w:basedOn w:val="Fuentedeprrafopredeter"/>
    <w:uiPriority w:val="99"/>
    <w:unhideWhenUsed/>
    <w:qFormat/>
    <w:rsid w:val="00C56803"/>
    <w:rPr>
      <w:rFonts w:asciiTheme="majorHAnsi" w:hAnsiTheme="majorHAnsi"/>
      <w:color w:val="E2231A" w:themeColor="accent1"/>
      <w:sz w:val="22"/>
      <w:vertAlign w:val="superscript"/>
    </w:rPr>
  </w:style>
  <w:style w:type="character" w:styleId="Hipervnculovisitado">
    <w:name w:val="FollowedHyperlink"/>
    <w:basedOn w:val="Fuentedeprrafopredeter"/>
    <w:uiPriority w:val="99"/>
    <w:semiHidden/>
    <w:unhideWhenUsed/>
    <w:qFormat/>
    <w:rsid w:val="009A65B2"/>
    <w:rPr>
      <w:color w:val="B2B2B2" w:themeColor="followedHyperlink"/>
      <w:u w:val="single"/>
    </w:rPr>
  </w:style>
  <w:style w:type="paragraph" w:styleId="Sinespaciado">
    <w:name w:val="No Spacing"/>
    <w:uiPriority w:val="1"/>
    <w:qFormat/>
    <w:rsid w:val="0091077D"/>
    <w:rPr>
      <w:rFonts w:asciiTheme="majorHAnsi" w:hAnsiTheme="majorHAnsi"/>
      <w:color w:val="373737" w:themeColor="background2" w:themeShade="40"/>
      <w:sz w:val="22"/>
    </w:rPr>
  </w:style>
  <w:style w:type="paragraph" w:styleId="TDC2">
    <w:name w:val="toc 2"/>
    <w:basedOn w:val="Normal"/>
    <w:next w:val="Normal"/>
    <w:autoRedefine/>
    <w:uiPriority w:val="39"/>
    <w:unhideWhenUsed/>
    <w:rsid w:val="00D63744"/>
    <w:pPr>
      <w:tabs>
        <w:tab w:val="right" w:pos="9497"/>
      </w:tabs>
      <w:spacing w:after="0" w:line="264" w:lineRule="auto"/>
      <w:ind w:left="221"/>
      <w:contextualSpacing/>
    </w:pPr>
    <w:rPr>
      <w:sz w:val="20"/>
    </w:rPr>
  </w:style>
  <w:style w:type="character" w:styleId="Refdecomentario">
    <w:name w:val="annotation reference"/>
    <w:basedOn w:val="Fuentedeprrafopredeter"/>
    <w:uiPriority w:val="99"/>
    <w:semiHidden/>
    <w:unhideWhenUsed/>
    <w:rsid w:val="00B72390"/>
    <w:rPr>
      <w:sz w:val="18"/>
      <w:szCs w:val="18"/>
    </w:rPr>
  </w:style>
  <w:style w:type="paragraph" w:styleId="Textocomentario">
    <w:name w:val="annotation text"/>
    <w:basedOn w:val="Normal"/>
    <w:link w:val="TextocomentarioCar"/>
    <w:uiPriority w:val="99"/>
    <w:semiHidden/>
    <w:unhideWhenUsed/>
    <w:rsid w:val="00B72390"/>
    <w:pPr>
      <w:spacing w:line="240" w:lineRule="auto"/>
    </w:pPr>
    <w:rPr>
      <w:sz w:val="24"/>
    </w:rPr>
  </w:style>
  <w:style w:type="character" w:customStyle="1" w:styleId="TextocomentarioCar">
    <w:name w:val="Texto comentario Car"/>
    <w:basedOn w:val="Fuentedeprrafopredeter"/>
    <w:link w:val="Textocomentario"/>
    <w:uiPriority w:val="99"/>
    <w:semiHidden/>
    <w:rsid w:val="00B72390"/>
    <w:rPr>
      <w:rFonts w:asciiTheme="majorHAnsi" w:hAnsiTheme="majorHAnsi"/>
      <w:color w:val="373737" w:themeColor="background2" w:themeShade="40"/>
    </w:rPr>
  </w:style>
  <w:style w:type="paragraph" w:styleId="Asuntodelcomentario">
    <w:name w:val="annotation subject"/>
    <w:basedOn w:val="Textocomentario"/>
    <w:next w:val="Textocomentario"/>
    <w:link w:val="AsuntodelcomentarioCar"/>
    <w:uiPriority w:val="99"/>
    <w:semiHidden/>
    <w:unhideWhenUsed/>
    <w:rsid w:val="00B72390"/>
    <w:rPr>
      <w:b/>
      <w:bCs/>
      <w:sz w:val="20"/>
      <w:szCs w:val="20"/>
    </w:rPr>
  </w:style>
  <w:style w:type="character" w:customStyle="1" w:styleId="AsuntodelcomentarioCar">
    <w:name w:val="Asunto del comentario Car"/>
    <w:basedOn w:val="TextocomentarioCar"/>
    <w:link w:val="Asuntodelcomentario"/>
    <w:uiPriority w:val="99"/>
    <w:semiHidden/>
    <w:rsid w:val="00B72390"/>
    <w:rPr>
      <w:rFonts w:asciiTheme="majorHAnsi" w:hAnsiTheme="majorHAnsi"/>
      <w:b/>
      <w:bCs/>
      <w:color w:val="373737" w:themeColor="background2" w:themeShade="40"/>
      <w:sz w:val="20"/>
      <w:szCs w:val="20"/>
    </w:rPr>
  </w:style>
  <w:style w:type="paragraph" w:styleId="Textodeglobo">
    <w:name w:val="Balloon Text"/>
    <w:basedOn w:val="Normal"/>
    <w:link w:val="TextodegloboCar"/>
    <w:uiPriority w:val="99"/>
    <w:semiHidden/>
    <w:unhideWhenUsed/>
    <w:rsid w:val="00B7239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72390"/>
    <w:rPr>
      <w:rFonts w:ascii="Times New Roman" w:hAnsi="Times New Roman" w:cs="Times New Roman"/>
      <w:color w:val="373737" w:themeColor="background2" w:themeShade="40"/>
      <w:sz w:val="18"/>
      <w:szCs w:val="18"/>
    </w:rPr>
  </w:style>
  <w:style w:type="paragraph" w:customStyle="1" w:styleId="Subttuloparatablasygrficos">
    <w:name w:val="Subtítulo para tablas y gráficos"/>
    <w:basedOn w:val="Normal"/>
    <w:qFormat/>
    <w:rsid w:val="00C0522E"/>
    <w:pPr>
      <w:jc w:val="left"/>
    </w:pPr>
    <w:rPr>
      <w:i/>
      <w:color w:val="9D9A9D" w:themeColor="accent5"/>
    </w:rPr>
  </w:style>
  <w:style w:type="paragraph" w:customStyle="1" w:styleId="Piedetablaygrfico">
    <w:name w:val="Pie de tabla y gráfico"/>
    <w:basedOn w:val="Normal"/>
    <w:qFormat/>
    <w:rsid w:val="00C97CF4"/>
    <w:pPr>
      <w:tabs>
        <w:tab w:val="left" w:pos="7229"/>
      </w:tabs>
      <w:spacing w:before="120" w:after="360"/>
    </w:pPr>
    <w:rPr>
      <w:color w:val="9D9A9D" w:themeColor="accent5"/>
      <w:sz w:val="18"/>
    </w:rPr>
  </w:style>
  <w:style w:type="paragraph" w:customStyle="1" w:styleId="Prrafodelista2">
    <w:name w:val="Párrafo de lista 2"/>
    <w:basedOn w:val="Normal"/>
    <w:rsid w:val="0072485F"/>
    <w:pPr>
      <w:numPr>
        <w:ilvl w:val="1"/>
        <w:numId w:val="2"/>
      </w:numPr>
      <w:spacing w:before="100" w:beforeAutospacing="1" w:after="100" w:afterAutospacing="1"/>
      <w:ind w:left="568" w:hanging="284"/>
      <w:contextualSpacing/>
    </w:pPr>
  </w:style>
  <w:style w:type="paragraph" w:customStyle="1" w:styleId="Prrafodelista3">
    <w:name w:val="Párrafo de lista 3"/>
    <w:basedOn w:val="Normal"/>
    <w:rsid w:val="0072485F"/>
    <w:pPr>
      <w:numPr>
        <w:ilvl w:val="2"/>
        <w:numId w:val="2"/>
      </w:numPr>
      <w:spacing w:before="100" w:beforeAutospacing="1" w:after="100" w:afterAutospacing="1"/>
      <w:ind w:left="851" w:hanging="284"/>
      <w:contextualSpacing/>
    </w:pPr>
  </w:style>
  <w:style w:type="paragraph" w:customStyle="1" w:styleId="SubPuesto">
    <w:name w:val="SubPuesto"/>
    <w:basedOn w:val="Normal"/>
    <w:qFormat/>
    <w:rsid w:val="00C0522E"/>
    <w:pPr>
      <w:spacing w:before="1200" w:line="276" w:lineRule="auto"/>
      <w:jc w:val="left"/>
    </w:pPr>
    <w:rPr>
      <w:rFonts w:asciiTheme="minorHAnsi" w:hAnsiTheme="minorHAnsi" w:cstheme="minorHAnsi"/>
      <w:sz w:val="24"/>
    </w:rPr>
  </w:style>
  <w:style w:type="character" w:customStyle="1" w:styleId="Ttulo3Car">
    <w:name w:val="Título 3 Car"/>
    <w:basedOn w:val="Fuentedeprrafopredeter"/>
    <w:link w:val="Ttulo3"/>
    <w:uiPriority w:val="9"/>
    <w:rsid w:val="00E470D9"/>
    <w:rPr>
      <w:rFonts w:asciiTheme="majorHAnsi" w:eastAsiaTheme="majorEastAsia" w:hAnsiTheme="majorHAnsi" w:cstheme="majorBidi"/>
      <w:color w:val="5E5E5E" w:themeColor="text2"/>
      <w:sz w:val="32"/>
      <w:szCs w:val="32"/>
      <w:lang w:val="es-ES" w:eastAsia="es-ES"/>
    </w:rPr>
  </w:style>
  <w:style w:type="character" w:customStyle="1" w:styleId="Ttulo4Car">
    <w:name w:val="Título 4 Car"/>
    <w:basedOn w:val="Fuentedeprrafopredeter"/>
    <w:link w:val="Ttulo4"/>
    <w:uiPriority w:val="9"/>
    <w:rsid w:val="00D16248"/>
    <w:rPr>
      <w:rFonts w:asciiTheme="majorHAnsi" w:eastAsiaTheme="majorEastAsia" w:hAnsiTheme="majorHAnsi" w:cstheme="majorBidi"/>
      <w:i/>
      <w:iCs/>
      <w:color w:val="A91913" w:themeColor="accent1" w:themeShade="BF"/>
      <w:sz w:val="22"/>
    </w:rPr>
  </w:style>
  <w:style w:type="paragraph" w:styleId="NormalWeb">
    <w:name w:val="Normal (Web)"/>
    <w:basedOn w:val="Normal"/>
    <w:uiPriority w:val="99"/>
    <w:semiHidden/>
    <w:unhideWhenUsed/>
    <w:rsid w:val="00E470D9"/>
    <w:pPr>
      <w:spacing w:before="100" w:beforeAutospacing="1" w:after="100" w:afterAutospacing="1" w:line="240" w:lineRule="auto"/>
    </w:pPr>
    <w:rPr>
      <w:rFonts w:ascii="Times New Roman" w:hAnsi="Times New Roman" w:cs="Times New Roman"/>
      <w:color w:val="auto"/>
      <w:sz w:val="24"/>
      <w:lang w:eastAsia="es-ES_tradnl"/>
    </w:rPr>
  </w:style>
  <w:style w:type="paragraph" w:styleId="TDC3">
    <w:name w:val="toc 3"/>
    <w:basedOn w:val="TDC2"/>
    <w:next w:val="Normal"/>
    <w:autoRedefine/>
    <w:uiPriority w:val="39"/>
    <w:unhideWhenUsed/>
    <w:rsid w:val="00814CCF"/>
    <w:pPr>
      <w:ind w:left="442"/>
    </w:pPr>
  </w:style>
  <w:style w:type="paragraph" w:styleId="TDC4">
    <w:name w:val="toc 4"/>
    <w:basedOn w:val="Normal"/>
    <w:next w:val="Normal"/>
    <w:autoRedefine/>
    <w:uiPriority w:val="39"/>
    <w:unhideWhenUsed/>
    <w:rsid w:val="00C01FEC"/>
    <w:pPr>
      <w:ind w:left="660"/>
    </w:pPr>
  </w:style>
  <w:style w:type="paragraph" w:styleId="TDC5">
    <w:name w:val="toc 5"/>
    <w:basedOn w:val="Normal"/>
    <w:next w:val="Normal"/>
    <w:autoRedefine/>
    <w:uiPriority w:val="39"/>
    <w:unhideWhenUsed/>
    <w:rsid w:val="00C01FEC"/>
    <w:pPr>
      <w:ind w:left="880"/>
    </w:pPr>
  </w:style>
  <w:style w:type="paragraph" w:styleId="TDC6">
    <w:name w:val="toc 6"/>
    <w:basedOn w:val="Normal"/>
    <w:next w:val="Normal"/>
    <w:autoRedefine/>
    <w:uiPriority w:val="39"/>
    <w:unhideWhenUsed/>
    <w:rsid w:val="00C01FEC"/>
    <w:pPr>
      <w:ind w:left="1100"/>
    </w:pPr>
  </w:style>
  <w:style w:type="paragraph" w:styleId="TDC7">
    <w:name w:val="toc 7"/>
    <w:basedOn w:val="Normal"/>
    <w:next w:val="Normal"/>
    <w:autoRedefine/>
    <w:uiPriority w:val="39"/>
    <w:unhideWhenUsed/>
    <w:rsid w:val="00C01FEC"/>
    <w:pPr>
      <w:ind w:left="1320"/>
    </w:pPr>
  </w:style>
  <w:style w:type="paragraph" w:styleId="TDC8">
    <w:name w:val="toc 8"/>
    <w:basedOn w:val="Normal"/>
    <w:next w:val="Normal"/>
    <w:autoRedefine/>
    <w:uiPriority w:val="39"/>
    <w:unhideWhenUsed/>
    <w:rsid w:val="00C01FEC"/>
    <w:pPr>
      <w:ind w:left="1540"/>
    </w:pPr>
  </w:style>
  <w:style w:type="paragraph" w:styleId="TDC9">
    <w:name w:val="toc 9"/>
    <w:basedOn w:val="Normal"/>
    <w:next w:val="Normal"/>
    <w:autoRedefine/>
    <w:uiPriority w:val="39"/>
    <w:unhideWhenUsed/>
    <w:rsid w:val="00C01FEC"/>
    <w:pPr>
      <w:ind w:left="1760"/>
    </w:pPr>
  </w:style>
  <w:style w:type="paragraph" w:styleId="Descripcin">
    <w:name w:val="caption"/>
    <w:basedOn w:val="Normal"/>
    <w:next w:val="Normal"/>
    <w:uiPriority w:val="35"/>
    <w:semiHidden/>
    <w:unhideWhenUsed/>
    <w:qFormat/>
    <w:rsid w:val="00F1334E"/>
    <w:pPr>
      <w:spacing w:after="200" w:line="240" w:lineRule="auto"/>
    </w:pPr>
    <w:rPr>
      <w:i/>
      <w:iCs/>
      <w:color w:val="5E5E5E" w:themeColor="text2"/>
      <w:sz w:val="18"/>
      <w:szCs w:val="18"/>
    </w:rPr>
  </w:style>
  <w:style w:type="paragraph" w:customStyle="1" w:styleId="CrditosdePublicacin">
    <w:name w:val="Créditos de Publicación"/>
    <w:basedOn w:val="Normal"/>
    <w:qFormat/>
    <w:rsid w:val="00841F97"/>
    <w:pPr>
      <w:jc w:val="left"/>
    </w:pPr>
    <w:rPr>
      <w:rFonts w:cstheme="majorHAnsi"/>
      <w:sz w:val="18"/>
    </w:rPr>
  </w:style>
  <w:style w:type="table" w:styleId="Tablaconcuadrcula">
    <w:name w:val="Table Grid"/>
    <w:basedOn w:val="Tablanormal"/>
    <w:uiPriority w:val="39"/>
    <w:rsid w:val="0092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0FD8"/>
    <w:rPr>
      <w:color w:val="605E5C"/>
      <w:shd w:val="clear" w:color="auto" w:fill="E1DFDD"/>
    </w:rPr>
  </w:style>
  <w:style w:type="paragraph" w:styleId="Lista">
    <w:name w:val="List"/>
    <w:basedOn w:val="Normal"/>
    <w:uiPriority w:val="99"/>
    <w:unhideWhenUsed/>
    <w:rsid w:val="007C6EDD"/>
    <w:pPr>
      <w:ind w:left="283" w:hanging="283"/>
      <w:contextualSpacing/>
    </w:pPr>
  </w:style>
  <w:style w:type="paragraph" w:styleId="Continuarlista">
    <w:name w:val="List Continue"/>
    <w:basedOn w:val="Normal"/>
    <w:uiPriority w:val="99"/>
    <w:unhideWhenUsed/>
    <w:rsid w:val="007C6EDD"/>
    <w:pPr>
      <w:spacing w:after="120"/>
      <w:ind w:left="283"/>
      <w:contextualSpacing/>
    </w:pPr>
  </w:style>
  <w:style w:type="paragraph" w:styleId="Textoindependiente">
    <w:name w:val="Body Text"/>
    <w:basedOn w:val="Normal"/>
    <w:link w:val="TextoindependienteCar"/>
    <w:uiPriority w:val="99"/>
    <w:unhideWhenUsed/>
    <w:rsid w:val="007C6EDD"/>
    <w:pPr>
      <w:spacing w:after="120"/>
    </w:pPr>
  </w:style>
  <w:style w:type="character" w:customStyle="1" w:styleId="TextoindependienteCar">
    <w:name w:val="Texto independiente Car"/>
    <w:basedOn w:val="Fuentedeprrafopredeter"/>
    <w:link w:val="Textoindependiente"/>
    <w:uiPriority w:val="99"/>
    <w:rsid w:val="007C6EDD"/>
    <w:rPr>
      <w:rFonts w:asciiTheme="majorHAnsi" w:hAnsiTheme="majorHAnsi"/>
      <w:color w:val="373737" w:themeColor="background2" w:themeShade="40"/>
      <w:sz w:val="22"/>
    </w:rPr>
  </w:style>
  <w:style w:type="table" w:customStyle="1" w:styleId="Tabladelista2-nfasis12">
    <w:name w:val="Tabla de lista 2 - Énfasis 12"/>
    <w:basedOn w:val="Tablanormal"/>
    <w:uiPriority w:val="47"/>
    <w:rsid w:val="00CC15DD"/>
    <w:tblPr>
      <w:tblStyleRowBandSize w:val="1"/>
      <w:tblStyleColBandSize w:val="1"/>
      <w:tblBorders>
        <w:top w:val="single" w:sz="4" w:space="0" w:color="EF7974" w:themeColor="accent1" w:themeTint="99"/>
        <w:bottom w:val="single" w:sz="4" w:space="0" w:color="EF7974" w:themeColor="accent1" w:themeTint="99"/>
        <w:insideH w:val="single" w:sz="4" w:space="0" w:color="EF797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Tabladelista2-nfasis11">
    <w:name w:val="Tabla de lista 2 - Énfasis 11"/>
    <w:basedOn w:val="Tablanormal"/>
    <w:uiPriority w:val="47"/>
    <w:rsid w:val="009C7E84"/>
    <w:tblPr>
      <w:tblStyleRowBandSize w:val="1"/>
      <w:tblStyleColBandSize w:val="1"/>
      <w:tblBorders>
        <w:top w:val="single" w:sz="4" w:space="0" w:color="EF7974" w:themeColor="accent1" w:themeTint="99"/>
        <w:bottom w:val="single" w:sz="4" w:space="0" w:color="EF7974" w:themeColor="accent1" w:themeTint="99"/>
        <w:insideH w:val="single" w:sz="4" w:space="0" w:color="EF797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paragraph" w:customStyle="1" w:styleId="TextodeCuadrooGrfico">
    <w:name w:val="Texto de Cuadro o Gráfico"/>
    <w:basedOn w:val="Normal"/>
    <w:link w:val="TextodeCuadrooGrficoCar"/>
    <w:rsid w:val="009C7E84"/>
    <w:pPr>
      <w:spacing w:before="40" w:after="40" w:line="200" w:lineRule="exact"/>
    </w:pPr>
    <w:rPr>
      <w:rFonts w:ascii="HelveticaNeueLT Pro 55 Roman" w:eastAsia="Times New Roman" w:hAnsi="HelveticaNeueLT Pro 55 Roman" w:cs="Times New Roman"/>
      <w:color w:val="auto"/>
      <w:sz w:val="16"/>
      <w:lang w:val="es-ES" w:eastAsia="es-ES"/>
    </w:rPr>
  </w:style>
  <w:style w:type="character" w:styleId="Textoennegrita">
    <w:name w:val="Strong"/>
    <w:uiPriority w:val="22"/>
    <w:qFormat/>
    <w:rsid w:val="009C7E84"/>
    <w:rPr>
      <w:b/>
      <w:bCs/>
    </w:rPr>
  </w:style>
  <w:style w:type="character" w:customStyle="1" w:styleId="TextodeCuadrooGrficoCar">
    <w:name w:val="Texto de Cuadro o Gráfico Car"/>
    <w:basedOn w:val="Fuentedeprrafopredeter"/>
    <w:link w:val="TextodeCuadrooGrfico"/>
    <w:rsid w:val="009C7E84"/>
    <w:rPr>
      <w:rFonts w:ascii="HelveticaNeueLT Pro 55 Roman" w:eastAsia="Times New Roman" w:hAnsi="HelveticaNeueLT Pro 55 Roman" w:cs="Times New Roman"/>
      <w:sz w:val="16"/>
      <w:lang w:val="es-ES" w:eastAsia="es-ES"/>
    </w:rPr>
  </w:style>
  <w:style w:type="table" w:styleId="Tablanormal4">
    <w:name w:val="Plain Table 4"/>
    <w:basedOn w:val="Tablanormal"/>
    <w:uiPriority w:val="44"/>
    <w:rsid w:val="009C7E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C7E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392">
      <w:bodyDiv w:val="1"/>
      <w:marLeft w:val="0"/>
      <w:marRight w:val="0"/>
      <w:marTop w:val="0"/>
      <w:marBottom w:val="0"/>
      <w:divBdr>
        <w:top w:val="none" w:sz="0" w:space="0" w:color="auto"/>
        <w:left w:val="none" w:sz="0" w:space="0" w:color="auto"/>
        <w:bottom w:val="none" w:sz="0" w:space="0" w:color="auto"/>
        <w:right w:val="none" w:sz="0" w:space="0" w:color="auto"/>
      </w:divBdr>
    </w:div>
    <w:div w:id="15153761">
      <w:bodyDiv w:val="1"/>
      <w:marLeft w:val="0"/>
      <w:marRight w:val="0"/>
      <w:marTop w:val="0"/>
      <w:marBottom w:val="0"/>
      <w:divBdr>
        <w:top w:val="none" w:sz="0" w:space="0" w:color="auto"/>
        <w:left w:val="none" w:sz="0" w:space="0" w:color="auto"/>
        <w:bottom w:val="none" w:sz="0" w:space="0" w:color="auto"/>
        <w:right w:val="none" w:sz="0" w:space="0" w:color="auto"/>
      </w:divBdr>
    </w:div>
    <w:div w:id="20592575">
      <w:bodyDiv w:val="1"/>
      <w:marLeft w:val="0"/>
      <w:marRight w:val="0"/>
      <w:marTop w:val="0"/>
      <w:marBottom w:val="0"/>
      <w:divBdr>
        <w:top w:val="none" w:sz="0" w:space="0" w:color="auto"/>
        <w:left w:val="none" w:sz="0" w:space="0" w:color="auto"/>
        <w:bottom w:val="none" w:sz="0" w:space="0" w:color="auto"/>
        <w:right w:val="none" w:sz="0" w:space="0" w:color="auto"/>
      </w:divBdr>
    </w:div>
    <w:div w:id="48725402">
      <w:bodyDiv w:val="1"/>
      <w:marLeft w:val="0"/>
      <w:marRight w:val="0"/>
      <w:marTop w:val="0"/>
      <w:marBottom w:val="0"/>
      <w:divBdr>
        <w:top w:val="none" w:sz="0" w:space="0" w:color="auto"/>
        <w:left w:val="none" w:sz="0" w:space="0" w:color="auto"/>
        <w:bottom w:val="none" w:sz="0" w:space="0" w:color="auto"/>
        <w:right w:val="none" w:sz="0" w:space="0" w:color="auto"/>
      </w:divBdr>
    </w:div>
    <w:div w:id="52318990">
      <w:bodyDiv w:val="1"/>
      <w:marLeft w:val="0"/>
      <w:marRight w:val="0"/>
      <w:marTop w:val="0"/>
      <w:marBottom w:val="0"/>
      <w:divBdr>
        <w:top w:val="none" w:sz="0" w:space="0" w:color="auto"/>
        <w:left w:val="none" w:sz="0" w:space="0" w:color="auto"/>
        <w:bottom w:val="none" w:sz="0" w:space="0" w:color="auto"/>
        <w:right w:val="none" w:sz="0" w:space="0" w:color="auto"/>
      </w:divBdr>
    </w:div>
    <w:div w:id="63571247">
      <w:bodyDiv w:val="1"/>
      <w:marLeft w:val="0"/>
      <w:marRight w:val="0"/>
      <w:marTop w:val="0"/>
      <w:marBottom w:val="0"/>
      <w:divBdr>
        <w:top w:val="none" w:sz="0" w:space="0" w:color="auto"/>
        <w:left w:val="none" w:sz="0" w:space="0" w:color="auto"/>
        <w:bottom w:val="none" w:sz="0" w:space="0" w:color="auto"/>
        <w:right w:val="none" w:sz="0" w:space="0" w:color="auto"/>
      </w:divBdr>
    </w:div>
    <w:div w:id="74979835">
      <w:bodyDiv w:val="1"/>
      <w:marLeft w:val="0"/>
      <w:marRight w:val="0"/>
      <w:marTop w:val="0"/>
      <w:marBottom w:val="0"/>
      <w:divBdr>
        <w:top w:val="none" w:sz="0" w:space="0" w:color="auto"/>
        <w:left w:val="none" w:sz="0" w:space="0" w:color="auto"/>
        <w:bottom w:val="none" w:sz="0" w:space="0" w:color="auto"/>
        <w:right w:val="none" w:sz="0" w:space="0" w:color="auto"/>
      </w:divBdr>
    </w:div>
    <w:div w:id="101264567">
      <w:bodyDiv w:val="1"/>
      <w:marLeft w:val="0"/>
      <w:marRight w:val="0"/>
      <w:marTop w:val="0"/>
      <w:marBottom w:val="0"/>
      <w:divBdr>
        <w:top w:val="none" w:sz="0" w:space="0" w:color="auto"/>
        <w:left w:val="none" w:sz="0" w:space="0" w:color="auto"/>
        <w:bottom w:val="none" w:sz="0" w:space="0" w:color="auto"/>
        <w:right w:val="none" w:sz="0" w:space="0" w:color="auto"/>
      </w:divBdr>
    </w:div>
    <w:div w:id="123357080">
      <w:bodyDiv w:val="1"/>
      <w:marLeft w:val="0"/>
      <w:marRight w:val="0"/>
      <w:marTop w:val="0"/>
      <w:marBottom w:val="0"/>
      <w:divBdr>
        <w:top w:val="none" w:sz="0" w:space="0" w:color="auto"/>
        <w:left w:val="none" w:sz="0" w:space="0" w:color="auto"/>
        <w:bottom w:val="none" w:sz="0" w:space="0" w:color="auto"/>
        <w:right w:val="none" w:sz="0" w:space="0" w:color="auto"/>
      </w:divBdr>
    </w:div>
    <w:div w:id="152067119">
      <w:bodyDiv w:val="1"/>
      <w:marLeft w:val="0"/>
      <w:marRight w:val="0"/>
      <w:marTop w:val="0"/>
      <w:marBottom w:val="0"/>
      <w:divBdr>
        <w:top w:val="none" w:sz="0" w:space="0" w:color="auto"/>
        <w:left w:val="none" w:sz="0" w:space="0" w:color="auto"/>
        <w:bottom w:val="none" w:sz="0" w:space="0" w:color="auto"/>
        <w:right w:val="none" w:sz="0" w:space="0" w:color="auto"/>
      </w:divBdr>
    </w:div>
    <w:div w:id="165294892">
      <w:bodyDiv w:val="1"/>
      <w:marLeft w:val="0"/>
      <w:marRight w:val="0"/>
      <w:marTop w:val="0"/>
      <w:marBottom w:val="0"/>
      <w:divBdr>
        <w:top w:val="none" w:sz="0" w:space="0" w:color="auto"/>
        <w:left w:val="none" w:sz="0" w:space="0" w:color="auto"/>
        <w:bottom w:val="none" w:sz="0" w:space="0" w:color="auto"/>
        <w:right w:val="none" w:sz="0" w:space="0" w:color="auto"/>
      </w:divBdr>
      <w:divsChild>
        <w:div w:id="1761027051">
          <w:marLeft w:val="0"/>
          <w:marRight w:val="0"/>
          <w:marTop w:val="0"/>
          <w:marBottom w:val="0"/>
          <w:divBdr>
            <w:top w:val="none" w:sz="0" w:space="0" w:color="auto"/>
            <w:left w:val="none" w:sz="0" w:space="0" w:color="auto"/>
            <w:bottom w:val="none" w:sz="0" w:space="0" w:color="auto"/>
            <w:right w:val="none" w:sz="0" w:space="0" w:color="auto"/>
          </w:divBdr>
        </w:div>
      </w:divsChild>
    </w:div>
    <w:div w:id="175001925">
      <w:bodyDiv w:val="1"/>
      <w:marLeft w:val="0"/>
      <w:marRight w:val="0"/>
      <w:marTop w:val="0"/>
      <w:marBottom w:val="0"/>
      <w:divBdr>
        <w:top w:val="none" w:sz="0" w:space="0" w:color="auto"/>
        <w:left w:val="none" w:sz="0" w:space="0" w:color="auto"/>
        <w:bottom w:val="none" w:sz="0" w:space="0" w:color="auto"/>
        <w:right w:val="none" w:sz="0" w:space="0" w:color="auto"/>
      </w:divBdr>
    </w:div>
    <w:div w:id="176162977">
      <w:bodyDiv w:val="1"/>
      <w:marLeft w:val="0"/>
      <w:marRight w:val="0"/>
      <w:marTop w:val="0"/>
      <w:marBottom w:val="0"/>
      <w:divBdr>
        <w:top w:val="none" w:sz="0" w:space="0" w:color="auto"/>
        <w:left w:val="none" w:sz="0" w:space="0" w:color="auto"/>
        <w:bottom w:val="none" w:sz="0" w:space="0" w:color="auto"/>
        <w:right w:val="none" w:sz="0" w:space="0" w:color="auto"/>
      </w:divBdr>
    </w:div>
    <w:div w:id="195309868">
      <w:bodyDiv w:val="1"/>
      <w:marLeft w:val="0"/>
      <w:marRight w:val="0"/>
      <w:marTop w:val="0"/>
      <w:marBottom w:val="0"/>
      <w:divBdr>
        <w:top w:val="none" w:sz="0" w:space="0" w:color="auto"/>
        <w:left w:val="none" w:sz="0" w:space="0" w:color="auto"/>
        <w:bottom w:val="none" w:sz="0" w:space="0" w:color="auto"/>
        <w:right w:val="none" w:sz="0" w:space="0" w:color="auto"/>
      </w:divBdr>
    </w:div>
    <w:div w:id="220219206">
      <w:bodyDiv w:val="1"/>
      <w:marLeft w:val="0"/>
      <w:marRight w:val="0"/>
      <w:marTop w:val="0"/>
      <w:marBottom w:val="0"/>
      <w:divBdr>
        <w:top w:val="none" w:sz="0" w:space="0" w:color="auto"/>
        <w:left w:val="none" w:sz="0" w:space="0" w:color="auto"/>
        <w:bottom w:val="none" w:sz="0" w:space="0" w:color="auto"/>
        <w:right w:val="none" w:sz="0" w:space="0" w:color="auto"/>
      </w:divBdr>
    </w:div>
    <w:div w:id="234825458">
      <w:bodyDiv w:val="1"/>
      <w:marLeft w:val="0"/>
      <w:marRight w:val="0"/>
      <w:marTop w:val="0"/>
      <w:marBottom w:val="0"/>
      <w:divBdr>
        <w:top w:val="none" w:sz="0" w:space="0" w:color="auto"/>
        <w:left w:val="none" w:sz="0" w:space="0" w:color="auto"/>
        <w:bottom w:val="none" w:sz="0" w:space="0" w:color="auto"/>
        <w:right w:val="none" w:sz="0" w:space="0" w:color="auto"/>
      </w:divBdr>
    </w:div>
    <w:div w:id="260115872">
      <w:bodyDiv w:val="1"/>
      <w:marLeft w:val="0"/>
      <w:marRight w:val="0"/>
      <w:marTop w:val="0"/>
      <w:marBottom w:val="0"/>
      <w:divBdr>
        <w:top w:val="none" w:sz="0" w:space="0" w:color="auto"/>
        <w:left w:val="none" w:sz="0" w:space="0" w:color="auto"/>
        <w:bottom w:val="none" w:sz="0" w:space="0" w:color="auto"/>
        <w:right w:val="none" w:sz="0" w:space="0" w:color="auto"/>
      </w:divBdr>
    </w:div>
    <w:div w:id="284240989">
      <w:bodyDiv w:val="1"/>
      <w:marLeft w:val="0"/>
      <w:marRight w:val="0"/>
      <w:marTop w:val="0"/>
      <w:marBottom w:val="0"/>
      <w:divBdr>
        <w:top w:val="none" w:sz="0" w:space="0" w:color="auto"/>
        <w:left w:val="none" w:sz="0" w:space="0" w:color="auto"/>
        <w:bottom w:val="none" w:sz="0" w:space="0" w:color="auto"/>
        <w:right w:val="none" w:sz="0" w:space="0" w:color="auto"/>
      </w:divBdr>
    </w:div>
    <w:div w:id="304822442">
      <w:bodyDiv w:val="1"/>
      <w:marLeft w:val="0"/>
      <w:marRight w:val="0"/>
      <w:marTop w:val="0"/>
      <w:marBottom w:val="0"/>
      <w:divBdr>
        <w:top w:val="none" w:sz="0" w:space="0" w:color="auto"/>
        <w:left w:val="none" w:sz="0" w:space="0" w:color="auto"/>
        <w:bottom w:val="none" w:sz="0" w:space="0" w:color="auto"/>
        <w:right w:val="none" w:sz="0" w:space="0" w:color="auto"/>
      </w:divBdr>
    </w:div>
    <w:div w:id="339548741">
      <w:bodyDiv w:val="1"/>
      <w:marLeft w:val="0"/>
      <w:marRight w:val="0"/>
      <w:marTop w:val="0"/>
      <w:marBottom w:val="0"/>
      <w:divBdr>
        <w:top w:val="none" w:sz="0" w:space="0" w:color="auto"/>
        <w:left w:val="none" w:sz="0" w:space="0" w:color="auto"/>
        <w:bottom w:val="none" w:sz="0" w:space="0" w:color="auto"/>
        <w:right w:val="none" w:sz="0" w:space="0" w:color="auto"/>
      </w:divBdr>
    </w:div>
    <w:div w:id="351883968">
      <w:bodyDiv w:val="1"/>
      <w:marLeft w:val="0"/>
      <w:marRight w:val="0"/>
      <w:marTop w:val="0"/>
      <w:marBottom w:val="0"/>
      <w:divBdr>
        <w:top w:val="none" w:sz="0" w:space="0" w:color="auto"/>
        <w:left w:val="none" w:sz="0" w:space="0" w:color="auto"/>
        <w:bottom w:val="none" w:sz="0" w:space="0" w:color="auto"/>
        <w:right w:val="none" w:sz="0" w:space="0" w:color="auto"/>
      </w:divBdr>
    </w:div>
    <w:div w:id="358314362">
      <w:bodyDiv w:val="1"/>
      <w:marLeft w:val="0"/>
      <w:marRight w:val="0"/>
      <w:marTop w:val="0"/>
      <w:marBottom w:val="0"/>
      <w:divBdr>
        <w:top w:val="none" w:sz="0" w:space="0" w:color="auto"/>
        <w:left w:val="none" w:sz="0" w:space="0" w:color="auto"/>
        <w:bottom w:val="none" w:sz="0" w:space="0" w:color="auto"/>
        <w:right w:val="none" w:sz="0" w:space="0" w:color="auto"/>
      </w:divBdr>
    </w:div>
    <w:div w:id="368065856">
      <w:bodyDiv w:val="1"/>
      <w:marLeft w:val="0"/>
      <w:marRight w:val="0"/>
      <w:marTop w:val="0"/>
      <w:marBottom w:val="0"/>
      <w:divBdr>
        <w:top w:val="none" w:sz="0" w:space="0" w:color="auto"/>
        <w:left w:val="none" w:sz="0" w:space="0" w:color="auto"/>
        <w:bottom w:val="none" w:sz="0" w:space="0" w:color="auto"/>
        <w:right w:val="none" w:sz="0" w:space="0" w:color="auto"/>
      </w:divBdr>
    </w:div>
    <w:div w:id="456682313">
      <w:bodyDiv w:val="1"/>
      <w:marLeft w:val="0"/>
      <w:marRight w:val="0"/>
      <w:marTop w:val="0"/>
      <w:marBottom w:val="0"/>
      <w:divBdr>
        <w:top w:val="none" w:sz="0" w:space="0" w:color="auto"/>
        <w:left w:val="none" w:sz="0" w:space="0" w:color="auto"/>
        <w:bottom w:val="none" w:sz="0" w:space="0" w:color="auto"/>
        <w:right w:val="none" w:sz="0" w:space="0" w:color="auto"/>
      </w:divBdr>
    </w:div>
    <w:div w:id="482039833">
      <w:bodyDiv w:val="1"/>
      <w:marLeft w:val="0"/>
      <w:marRight w:val="0"/>
      <w:marTop w:val="0"/>
      <w:marBottom w:val="0"/>
      <w:divBdr>
        <w:top w:val="none" w:sz="0" w:space="0" w:color="auto"/>
        <w:left w:val="none" w:sz="0" w:space="0" w:color="auto"/>
        <w:bottom w:val="none" w:sz="0" w:space="0" w:color="auto"/>
        <w:right w:val="none" w:sz="0" w:space="0" w:color="auto"/>
      </w:divBdr>
    </w:div>
    <w:div w:id="490372725">
      <w:bodyDiv w:val="1"/>
      <w:marLeft w:val="0"/>
      <w:marRight w:val="0"/>
      <w:marTop w:val="0"/>
      <w:marBottom w:val="0"/>
      <w:divBdr>
        <w:top w:val="none" w:sz="0" w:space="0" w:color="auto"/>
        <w:left w:val="none" w:sz="0" w:space="0" w:color="auto"/>
        <w:bottom w:val="none" w:sz="0" w:space="0" w:color="auto"/>
        <w:right w:val="none" w:sz="0" w:space="0" w:color="auto"/>
      </w:divBdr>
    </w:div>
    <w:div w:id="497504661">
      <w:bodyDiv w:val="1"/>
      <w:marLeft w:val="0"/>
      <w:marRight w:val="0"/>
      <w:marTop w:val="0"/>
      <w:marBottom w:val="0"/>
      <w:divBdr>
        <w:top w:val="none" w:sz="0" w:space="0" w:color="auto"/>
        <w:left w:val="none" w:sz="0" w:space="0" w:color="auto"/>
        <w:bottom w:val="none" w:sz="0" w:space="0" w:color="auto"/>
        <w:right w:val="none" w:sz="0" w:space="0" w:color="auto"/>
      </w:divBdr>
    </w:div>
    <w:div w:id="503933446">
      <w:bodyDiv w:val="1"/>
      <w:marLeft w:val="0"/>
      <w:marRight w:val="0"/>
      <w:marTop w:val="0"/>
      <w:marBottom w:val="0"/>
      <w:divBdr>
        <w:top w:val="none" w:sz="0" w:space="0" w:color="auto"/>
        <w:left w:val="none" w:sz="0" w:space="0" w:color="auto"/>
        <w:bottom w:val="none" w:sz="0" w:space="0" w:color="auto"/>
        <w:right w:val="none" w:sz="0" w:space="0" w:color="auto"/>
      </w:divBdr>
    </w:div>
    <w:div w:id="527716205">
      <w:bodyDiv w:val="1"/>
      <w:marLeft w:val="0"/>
      <w:marRight w:val="0"/>
      <w:marTop w:val="0"/>
      <w:marBottom w:val="0"/>
      <w:divBdr>
        <w:top w:val="none" w:sz="0" w:space="0" w:color="auto"/>
        <w:left w:val="none" w:sz="0" w:space="0" w:color="auto"/>
        <w:bottom w:val="none" w:sz="0" w:space="0" w:color="auto"/>
        <w:right w:val="none" w:sz="0" w:space="0" w:color="auto"/>
      </w:divBdr>
    </w:div>
    <w:div w:id="566914150">
      <w:bodyDiv w:val="1"/>
      <w:marLeft w:val="0"/>
      <w:marRight w:val="0"/>
      <w:marTop w:val="0"/>
      <w:marBottom w:val="0"/>
      <w:divBdr>
        <w:top w:val="none" w:sz="0" w:space="0" w:color="auto"/>
        <w:left w:val="none" w:sz="0" w:space="0" w:color="auto"/>
        <w:bottom w:val="none" w:sz="0" w:space="0" w:color="auto"/>
        <w:right w:val="none" w:sz="0" w:space="0" w:color="auto"/>
      </w:divBdr>
    </w:div>
    <w:div w:id="605120254">
      <w:bodyDiv w:val="1"/>
      <w:marLeft w:val="0"/>
      <w:marRight w:val="0"/>
      <w:marTop w:val="0"/>
      <w:marBottom w:val="0"/>
      <w:divBdr>
        <w:top w:val="none" w:sz="0" w:space="0" w:color="auto"/>
        <w:left w:val="none" w:sz="0" w:space="0" w:color="auto"/>
        <w:bottom w:val="none" w:sz="0" w:space="0" w:color="auto"/>
        <w:right w:val="none" w:sz="0" w:space="0" w:color="auto"/>
      </w:divBdr>
    </w:div>
    <w:div w:id="608973113">
      <w:bodyDiv w:val="1"/>
      <w:marLeft w:val="0"/>
      <w:marRight w:val="0"/>
      <w:marTop w:val="0"/>
      <w:marBottom w:val="0"/>
      <w:divBdr>
        <w:top w:val="none" w:sz="0" w:space="0" w:color="auto"/>
        <w:left w:val="none" w:sz="0" w:space="0" w:color="auto"/>
        <w:bottom w:val="none" w:sz="0" w:space="0" w:color="auto"/>
        <w:right w:val="none" w:sz="0" w:space="0" w:color="auto"/>
      </w:divBdr>
    </w:div>
    <w:div w:id="608974479">
      <w:bodyDiv w:val="1"/>
      <w:marLeft w:val="0"/>
      <w:marRight w:val="0"/>
      <w:marTop w:val="0"/>
      <w:marBottom w:val="0"/>
      <w:divBdr>
        <w:top w:val="none" w:sz="0" w:space="0" w:color="auto"/>
        <w:left w:val="none" w:sz="0" w:space="0" w:color="auto"/>
        <w:bottom w:val="none" w:sz="0" w:space="0" w:color="auto"/>
        <w:right w:val="none" w:sz="0" w:space="0" w:color="auto"/>
      </w:divBdr>
    </w:div>
    <w:div w:id="611784971">
      <w:bodyDiv w:val="1"/>
      <w:marLeft w:val="0"/>
      <w:marRight w:val="0"/>
      <w:marTop w:val="0"/>
      <w:marBottom w:val="0"/>
      <w:divBdr>
        <w:top w:val="none" w:sz="0" w:space="0" w:color="auto"/>
        <w:left w:val="none" w:sz="0" w:space="0" w:color="auto"/>
        <w:bottom w:val="none" w:sz="0" w:space="0" w:color="auto"/>
        <w:right w:val="none" w:sz="0" w:space="0" w:color="auto"/>
      </w:divBdr>
    </w:div>
    <w:div w:id="626930233">
      <w:bodyDiv w:val="1"/>
      <w:marLeft w:val="0"/>
      <w:marRight w:val="0"/>
      <w:marTop w:val="0"/>
      <w:marBottom w:val="0"/>
      <w:divBdr>
        <w:top w:val="none" w:sz="0" w:space="0" w:color="auto"/>
        <w:left w:val="none" w:sz="0" w:space="0" w:color="auto"/>
        <w:bottom w:val="none" w:sz="0" w:space="0" w:color="auto"/>
        <w:right w:val="none" w:sz="0" w:space="0" w:color="auto"/>
      </w:divBdr>
    </w:div>
    <w:div w:id="630136546">
      <w:bodyDiv w:val="1"/>
      <w:marLeft w:val="0"/>
      <w:marRight w:val="0"/>
      <w:marTop w:val="0"/>
      <w:marBottom w:val="0"/>
      <w:divBdr>
        <w:top w:val="none" w:sz="0" w:space="0" w:color="auto"/>
        <w:left w:val="none" w:sz="0" w:space="0" w:color="auto"/>
        <w:bottom w:val="none" w:sz="0" w:space="0" w:color="auto"/>
        <w:right w:val="none" w:sz="0" w:space="0" w:color="auto"/>
      </w:divBdr>
    </w:div>
    <w:div w:id="663120739">
      <w:bodyDiv w:val="1"/>
      <w:marLeft w:val="0"/>
      <w:marRight w:val="0"/>
      <w:marTop w:val="0"/>
      <w:marBottom w:val="0"/>
      <w:divBdr>
        <w:top w:val="none" w:sz="0" w:space="0" w:color="auto"/>
        <w:left w:val="none" w:sz="0" w:space="0" w:color="auto"/>
        <w:bottom w:val="none" w:sz="0" w:space="0" w:color="auto"/>
        <w:right w:val="none" w:sz="0" w:space="0" w:color="auto"/>
      </w:divBdr>
    </w:div>
    <w:div w:id="669138425">
      <w:bodyDiv w:val="1"/>
      <w:marLeft w:val="0"/>
      <w:marRight w:val="0"/>
      <w:marTop w:val="0"/>
      <w:marBottom w:val="0"/>
      <w:divBdr>
        <w:top w:val="none" w:sz="0" w:space="0" w:color="auto"/>
        <w:left w:val="none" w:sz="0" w:space="0" w:color="auto"/>
        <w:bottom w:val="none" w:sz="0" w:space="0" w:color="auto"/>
        <w:right w:val="none" w:sz="0" w:space="0" w:color="auto"/>
      </w:divBdr>
    </w:div>
    <w:div w:id="710501877">
      <w:bodyDiv w:val="1"/>
      <w:marLeft w:val="0"/>
      <w:marRight w:val="0"/>
      <w:marTop w:val="0"/>
      <w:marBottom w:val="0"/>
      <w:divBdr>
        <w:top w:val="none" w:sz="0" w:space="0" w:color="auto"/>
        <w:left w:val="none" w:sz="0" w:space="0" w:color="auto"/>
        <w:bottom w:val="none" w:sz="0" w:space="0" w:color="auto"/>
        <w:right w:val="none" w:sz="0" w:space="0" w:color="auto"/>
      </w:divBdr>
    </w:div>
    <w:div w:id="751199104">
      <w:bodyDiv w:val="1"/>
      <w:marLeft w:val="0"/>
      <w:marRight w:val="0"/>
      <w:marTop w:val="0"/>
      <w:marBottom w:val="0"/>
      <w:divBdr>
        <w:top w:val="none" w:sz="0" w:space="0" w:color="auto"/>
        <w:left w:val="none" w:sz="0" w:space="0" w:color="auto"/>
        <w:bottom w:val="none" w:sz="0" w:space="0" w:color="auto"/>
        <w:right w:val="none" w:sz="0" w:space="0" w:color="auto"/>
      </w:divBdr>
    </w:div>
    <w:div w:id="758334795">
      <w:bodyDiv w:val="1"/>
      <w:marLeft w:val="0"/>
      <w:marRight w:val="0"/>
      <w:marTop w:val="0"/>
      <w:marBottom w:val="0"/>
      <w:divBdr>
        <w:top w:val="none" w:sz="0" w:space="0" w:color="auto"/>
        <w:left w:val="none" w:sz="0" w:space="0" w:color="auto"/>
        <w:bottom w:val="none" w:sz="0" w:space="0" w:color="auto"/>
        <w:right w:val="none" w:sz="0" w:space="0" w:color="auto"/>
      </w:divBdr>
    </w:div>
    <w:div w:id="781875023">
      <w:bodyDiv w:val="1"/>
      <w:marLeft w:val="0"/>
      <w:marRight w:val="0"/>
      <w:marTop w:val="0"/>
      <w:marBottom w:val="0"/>
      <w:divBdr>
        <w:top w:val="none" w:sz="0" w:space="0" w:color="auto"/>
        <w:left w:val="none" w:sz="0" w:space="0" w:color="auto"/>
        <w:bottom w:val="none" w:sz="0" w:space="0" w:color="auto"/>
        <w:right w:val="none" w:sz="0" w:space="0" w:color="auto"/>
      </w:divBdr>
    </w:div>
    <w:div w:id="785387891">
      <w:bodyDiv w:val="1"/>
      <w:marLeft w:val="0"/>
      <w:marRight w:val="0"/>
      <w:marTop w:val="0"/>
      <w:marBottom w:val="0"/>
      <w:divBdr>
        <w:top w:val="none" w:sz="0" w:space="0" w:color="auto"/>
        <w:left w:val="none" w:sz="0" w:space="0" w:color="auto"/>
        <w:bottom w:val="none" w:sz="0" w:space="0" w:color="auto"/>
        <w:right w:val="none" w:sz="0" w:space="0" w:color="auto"/>
      </w:divBdr>
    </w:div>
    <w:div w:id="846211240">
      <w:bodyDiv w:val="1"/>
      <w:marLeft w:val="0"/>
      <w:marRight w:val="0"/>
      <w:marTop w:val="0"/>
      <w:marBottom w:val="0"/>
      <w:divBdr>
        <w:top w:val="none" w:sz="0" w:space="0" w:color="auto"/>
        <w:left w:val="none" w:sz="0" w:space="0" w:color="auto"/>
        <w:bottom w:val="none" w:sz="0" w:space="0" w:color="auto"/>
        <w:right w:val="none" w:sz="0" w:space="0" w:color="auto"/>
      </w:divBdr>
    </w:div>
    <w:div w:id="858859651">
      <w:bodyDiv w:val="1"/>
      <w:marLeft w:val="0"/>
      <w:marRight w:val="0"/>
      <w:marTop w:val="0"/>
      <w:marBottom w:val="0"/>
      <w:divBdr>
        <w:top w:val="none" w:sz="0" w:space="0" w:color="auto"/>
        <w:left w:val="none" w:sz="0" w:space="0" w:color="auto"/>
        <w:bottom w:val="none" w:sz="0" w:space="0" w:color="auto"/>
        <w:right w:val="none" w:sz="0" w:space="0" w:color="auto"/>
      </w:divBdr>
    </w:div>
    <w:div w:id="882518720">
      <w:bodyDiv w:val="1"/>
      <w:marLeft w:val="0"/>
      <w:marRight w:val="0"/>
      <w:marTop w:val="0"/>
      <w:marBottom w:val="0"/>
      <w:divBdr>
        <w:top w:val="none" w:sz="0" w:space="0" w:color="auto"/>
        <w:left w:val="none" w:sz="0" w:space="0" w:color="auto"/>
        <w:bottom w:val="none" w:sz="0" w:space="0" w:color="auto"/>
        <w:right w:val="none" w:sz="0" w:space="0" w:color="auto"/>
      </w:divBdr>
    </w:div>
    <w:div w:id="883129665">
      <w:bodyDiv w:val="1"/>
      <w:marLeft w:val="0"/>
      <w:marRight w:val="0"/>
      <w:marTop w:val="0"/>
      <w:marBottom w:val="0"/>
      <w:divBdr>
        <w:top w:val="none" w:sz="0" w:space="0" w:color="auto"/>
        <w:left w:val="none" w:sz="0" w:space="0" w:color="auto"/>
        <w:bottom w:val="none" w:sz="0" w:space="0" w:color="auto"/>
        <w:right w:val="none" w:sz="0" w:space="0" w:color="auto"/>
      </w:divBdr>
    </w:div>
    <w:div w:id="887379751">
      <w:bodyDiv w:val="1"/>
      <w:marLeft w:val="0"/>
      <w:marRight w:val="0"/>
      <w:marTop w:val="0"/>
      <w:marBottom w:val="0"/>
      <w:divBdr>
        <w:top w:val="none" w:sz="0" w:space="0" w:color="auto"/>
        <w:left w:val="none" w:sz="0" w:space="0" w:color="auto"/>
        <w:bottom w:val="none" w:sz="0" w:space="0" w:color="auto"/>
        <w:right w:val="none" w:sz="0" w:space="0" w:color="auto"/>
      </w:divBdr>
    </w:div>
    <w:div w:id="899249556">
      <w:bodyDiv w:val="1"/>
      <w:marLeft w:val="0"/>
      <w:marRight w:val="0"/>
      <w:marTop w:val="0"/>
      <w:marBottom w:val="0"/>
      <w:divBdr>
        <w:top w:val="none" w:sz="0" w:space="0" w:color="auto"/>
        <w:left w:val="none" w:sz="0" w:space="0" w:color="auto"/>
        <w:bottom w:val="none" w:sz="0" w:space="0" w:color="auto"/>
        <w:right w:val="none" w:sz="0" w:space="0" w:color="auto"/>
      </w:divBdr>
    </w:div>
    <w:div w:id="906039990">
      <w:bodyDiv w:val="1"/>
      <w:marLeft w:val="0"/>
      <w:marRight w:val="0"/>
      <w:marTop w:val="0"/>
      <w:marBottom w:val="0"/>
      <w:divBdr>
        <w:top w:val="none" w:sz="0" w:space="0" w:color="auto"/>
        <w:left w:val="none" w:sz="0" w:space="0" w:color="auto"/>
        <w:bottom w:val="none" w:sz="0" w:space="0" w:color="auto"/>
        <w:right w:val="none" w:sz="0" w:space="0" w:color="auto"/>
      </w:divBdr>
    </w:div>
    <w:div w:id="923103909">
      <w:bodyDiv w:val="1"/>
      <w:marLeft w:val="0"/>
      <w:marRight w:val="0"/>
      <w:marTop w:val="0"/>
      <w:marBottom w:val="0"/>
      <w:divBdr>
        <w:top w:val="none" w:sz="0" w:space="0" w:color="auto"/>
        <w:left w:val="none" w:sz="0" w:space="0" w:color="auto"/>
        <w:bottom w:val="none" w:sz="0" w:space="0" w:color="auto"/>
        <w:right w:val="none" w:sz="0" w:space="0" w:color="auto"/>
      </w:divBdr>
    </w:div>
    <w:div w:id="939414070">
      <w:bodyDiv w:val="1"/>
      <w:marLeft w:val="0"/>
      <w:marRight w:val="0"/>
      <w:marTop w:val="0"/>
      <w:marBottom w:val="0"/>
      <w:divBdr>
        <w:top w:val="none" w:sz="0" w:space="0" w:color="auto"/>
        <w:left w:val="none" w:sz="0" w:space="0" w:color="auto"/>
        <w:bottom w:val="none" w:sz="0" w:space="0" w:color="auto"/>
        <w:right w:val="none" w:sz="0" w:space="0" w:color="auto"/>
      </w:divBdr>
    </w:div>
    <w:div w:id="942221549">
      <w:bodyDiv w:val="1"/>
      <w:marLeft w:val="0"/>
      <w:marRight w:val="0"/>
      <w:marTop w:val="0"/>
      <w:marBottom w:val="0"/>
      <w:divBdr>
        <w:top w:val="none" w:sz="0" w:space="0" w:color="auto"/>
        <w:left w:val="none" w:sz="0" w:space="0" w:color="auto"/>
        <w:bottom w:val="none" w:sz="0" w:space="0" w:color="auto"/>
        <w:right w:val="none" w:sz="0" w:space="0" w:color="auto"/>
      </w:divBdr>
    </w:div>
    <w:div w:id="942999911">
      <w:bodyDiv w:val="1"/>
      <w:marLeft w:val="0"/>
      <w:marRight w:val="0"/>
      <w:marTop w:val="0"/>
      <w:marBottom w:val="0"/>
      <w:divBdr>
        <w:top w:val="none" w:sz="0" w:space="0" w:color="auto"/>
        <w:left w:val="none" w:sz="0" w:space="0" w:color="auto"/>
        <w:bottom w:val="none" w:sz="0" w:space="0" w:color="auto"/>
        <w:right w:val="none" w:sz="0" w:space="0" w:color="auto"/>
      </w:divBdr>
    </w:div>
    <w:div w:id="965743419">
      <w:bodyDiv w:val="1"/>
      <w:marLeft w:val="0"/>
      <w:marRight w:val="0"/>
      <w:marTop w:val="0"/>
      <w:marBottom w:val="0"/>
      <w:divBdr>
        <w:top w:val="none" w:sz="0" w:space="0" w:color="auto"/>
        <w:left w:val="none" w:sz="0" w:space="0" w:color="auto"/>
        <w:bottom w:val="none" w:sz="0" w:space="0" w:color="auto"/>
        <w:right w:val="none" w:sz="0" w:space="0" w:color="auto"/>
      </w:divBdr>
    </w:div>
    <w:div w:id="1018966711">
      <w:bodyDiv w:val="1"/>
      <w:marLeft w:val="0"/>
      <w:marRight w:val="0"/>
      <w:marTop w:val="0"/>
      <w:marBottom w:val="0"/>
      <w:divBdr>
        <w:top w:val="none" w:sz="0" w:space="0" w:color="auto"/>
        <w:left w:val="none" w:sz="0" w:space="0" w:color="auto"/>
        <w:bottom w:val="none" w:sz="0" w:space="0" w:color="auto"/>
        <w:right w:val="none" w:sz="0" w:space="0" w:color="auto"/>
      </w:divBdr>
    </w:div>
    <w:div w:id="1024017262">
      <w:bodyDiv w:val="1"/>
      <w:marLeft w:val="0"/>
      <w:marRight w:val="0"/>
      <w:marTop w:val="0"/>
      <w:marBottom w:val="0"/>
      <w:divBdr>
        <w:top w:val="none" w:sz="0" w:space="0" w:color="auto"/>
        <w:left w:val="none" w:sz="0" w:space="0" w:color="auto"/>
        <w:bottom w:val="none" w:sz="0" w:space="0" w:color="auto"/>
        <w:right w:val="none" w:sz="0" w:space="0" w:color="auto"/>
      </w:divBdr>
    </w:div>
    <w:div w:id="1041054550">
      <w:bodyDiv w:val="1"/>
      <w:marLeft w:val="0"/>
      <w:marRight w:val="0"/>
      <w:marTop w:val="0"/>
      <w:marBottom w:val="0"/>
      <w:divBdr>
        <w:top w:val="none" w:sz="0" w:space="0" w:color="auto"/>
        <w:left w:val="none" w:sz="0" w:space="0" w:color="auto"/>
        <w:bottom w:val="none" w:sz="0" w:space="0" w:color="auto"/>
        <w:right w:val="none" w:sz="0" w:space="0" w:color="auto"/>
      </w:divBdr>
    </w:div>
    <w:div w:id="1045714498">
      <w:bodyDiv w:val="1"/>
      <w:marLeft w:val="0"/>
      <w:marRight w:val="0"/>
      <w:marTop w:val="0"/>
      <w:marBottom w:val="0"/>
      <w:divBdr>
        <w:top w:val="none" w:sz="0" w:space="0" w:color="auto"/>
        <w:left w:val="none" w:sz="0" w:space="0" w:color="auto"/>
        <w:bottom w:val="none" w:sz="0" w:space="0" w:color="auto"/>
        <w:right w:val="none" w:sz="0" w:space="0" w:color="auto"/>
      </w:divBdr>
    </w:div>
    <w:div w:id="1055853456">
      <w:bodyDiv w:val="1"/>
      <w:marLeft w:val="0"/>
      <w:marRight w:val="0"/>
      <w:marTop w:val="0"/>
      <w:marBottom w:val="0"/>
      <w:divBdr>
        <w:top w:val="none" w:sz="0" w:space="0" w:color="auto"/>
        <w:left w:val="none" w:sz="0" w:space="0" w:color="auto"/>
        <w:bottom w:val="none" w:sz="0" w:space="0" w:color="auto"/>
        <w:right w:val="none" w:sz="0" w:space="0" w:color="auto"/>
      </w:divBdr>
    </w:div>
    <w:div w:id="1086153944">
      <w:bodyDiv w:val="1"/>
      <w:marLeft w:val="0"/>
      <w:marRight w:val="0"/>
      <w:marTop w:val="0"/>
      <w:marBottom w:val="0"/>
      <w:divBdr>
        <w:top w:val="none" w:sz="0" w:space="0" w:color="auto"/>
        <w:left w:val="none" w:sz="0" w:space="0" w:color="auto"/>
        <w:bottom w:val="none" w:sz="0" w:space="0" w:color="auto"/>
        <w:right w:val="none" w:sz="0" w:space="0" w:color="auto"/>
      </w:divBdr>
    </w:div>
    <w:div w:id="1127773415">
      <w:bodyDiv w:val="1"/>
      <w:marLeft w:val="0"/>
      <w:marRight w:val="0"/>
      <w:marTop w:val="0"/>
      <w:marBottom w:val="0"/>
      <w:divBdr>
        <w:top w:val="none" w:sz="0" w:space="0" w:color="auto"/>
        <w:left w:val="none" w:sz="0" w:space="0" w:color="auto"/>
        <w:bottom w:val="none" w:sz="0" w:space="0" w:color="auto"/>
        <w:right w:val="none" w:sz="0" w:space="0" w:color="auto"/>
      </w:divBdr>
    </w:div>
    <w:div w:id="1131828758">
      <w:bodyDiv w:val="1"/>
      <w:marLeft w:val="0"/>
      <w:marRight w:val="0"/>
      <w:marTop w:val="0"/>
      <w:marBottom w:val="0"/>
      <w:divBdr>
        <w:top w:val="none" w:sz="0" w:space="0" w:color="auto"/>
        <w:left w:val="none" w:sz="0" w:space="0" w:color="auto"/>
        <w:bottom w:val="none" w:sz="0" w:space="0" w:color="auto"/>
        <w:right w:val="none" w:sz="0" w:space="0" w:color="auto"/>
      </w:divBdr>
    </w:div>
    <w:div w:id="1142308356">
      <w:bodyDiv w:val="1"/>
      <w:marLeft w:val="0"/>
      <w:marRight w:val="0"/>
      <w:marTop w:val="0"/>
      <w:marBottom w:val="0"/>
      <w:divBdr>
        <w:top w:val="none" w:sz="0" w:space="0" w:color="auto"/>
        <w:left w:val="none" w:sz="0" w:space="0" w:color="auto"/>
        <w:bottom w:val="none" w:sz="0" w:space="0" w:color="auto"/>
        <w:right w:val="none" w:sz="0" w:space="0" w:color="auto"/>
      </w:divBdr>
    </w:div>
    <w:div w:id="1161971440">
      <w:bodyDiv w:val="1"/>
      <w:marLeft w:val="0"/>
      <w:marRight w:val="0"/>
      <w:marTop w:val="0"/>
      <w:marBottom w:val="0"/>
      <w:divBdr>
        <w:top w:val="none" w:sz="0" w:space="0" w:color="auto"/>
        <w:left w:val="none" w:sz="0" w:space="0" w:color="auto"/>
        <w:bottom w:val="none" w:sz="0" w:space="0" w:color="auto"/>
        <w:right w:val="none" w:sz="0" w:space="0" w:color="auto"/>
      </w:divBdr>
    </w:div>
    <w:div w:id="1209613836">
      <w:bodyDiv w:val="1"/>
      <w:marLeft w:val="0"/>
      <w:marRight w:val="0"/>
      <w:marTop w:val="0"/>
      <w:marBottom w:val="0"/>
      <w:divBdr>
        <w:top w:val="none" w:sz="0" w:space="0" w:color="auto"/>
        <w:left w:val="none" w:sz="0" w:space="0" w:color="auto"/>
        <w:bottom w:val="none" w:sz="0" w:space="0" w:color="auto"/>
        <w:right w:val="none" w:sz="0" w:space="0" w:color="auto"/>
      </w:divBdr>
    </w:div>
    <w:div w:id="1214466482">
      <w:bodyDiv w:val="1"/>
      <w:marLeft w:val="0"/>
      <w:marRight w:val="0"/>
      <w:marTop w:val="0"/>
      <w:marBottom w:val="0"/>
      <w:divBdr>
        <w:top w:val="none" w:sz="0" w:space="0" w:color="auto"/>
        <w:left w:val="none" w:sz="0" w:space="0" w:color="auto"/>
        <w:bottom w:val="none" w:sz="0" w:space="0" w:color="auto"/>
        <w:right w:val="none" w:sz="0" w:space="0" w:color="auto"/>
      </w:divBdr>
    </w:div>
    <w:div w:id="1237672147">
      <w:bodyDiv w:val="1"/>
      <w:marLeft w:val="0"/>
      <w:marRight w:val="0"/>
      <w:marTop w:val="0"/>
      <w:marBottom w:val="0"/>
      <w:divBdr>
        <w:top w:val="none" w:sz="0" w:space="0" w:color="auto"/>
        <w:left w:val="none" w:sz="0" w:space="0" w:color="auto"/>
        <w:bottom w:val="none" w:sz="0" w:space="0" w:color="auto"/>
        <w:right w:val="none" w:sz="0" w:space="0" w:color="auto"/>
      </w:divBdr>
    </w:div>
    <w:div w:id="1273199919">
      <w:bodyDiv w:val="1"/>
      <w:marLeft w:val="0"/>
      <w:marRight w:val="0"/>
      <w:marTop w:val="0"/>
      <w:marBottom w:val="0"/>
      <w:divBdr>
        <w:top w:val="none" w:sz="0" w:space="0" w:color="auto"/>
        <w:left w:val="none" w:sz="0" w:space="0" w:color="auto"/>
        <w:bottom w:val="none" w:sz="0" w:space="0" w:color="auto"/>
        <w:right w:val="none" w:sz="0" w:space="0" w:color="auto"/>
      </w:divBdr>
    </w:div>
    <w:div w:id="1293906333">
      <w:bodyDiv w:val="1"/>
      <w:marLeft w:val="0"/>
      <w:marRight w:val="0"/>
      <w:marTop w:val="0"/>
      <w:marBottom w:val="0"/>
      <w:divBdr>
        <w:top w:val="none" w:sz="0" w:space="0" w:color="auto"/>
        <w:left w:val="none" w:sz="0" w:space="0" w:color="auto"/>
        <w:bottom w:val="none" w:sz="0" w:space="0" w:color="auto"/>
        <w:right w:val="none" w:sz="0" w:space="0" w:color="auto"/>
      </w:divBdr>
    </w:div>
    <w:div w:id="1295255948">
      <w:bodyDiv w:val="1"/>
      <w:marLeft w:val="0"/>
      <w:marRight w:val="0"/>
      <w:marTop w:val="0"/>
      <w:marBottom w:val="0"/>
      <w:divBdr>
        <w:top w:val="none" w:sz="0" w:space="0" w:color="auto"/>
        <w:left w:val="none" w:sz="0" w:space="0" w:color="auto"/>
        <w:bottom w:val="none" w:sz="0" w:space="0" w:color="auto"/>
        <w:right w:val="none" w:sz="0" w:space="0" w:color="auto"/>
      </w:divBdr>
    </w:div>
    <w:div w:id="1309361050">
      <w:bodyDiv w:val="1"/>
      <w:marLeft w:val="0"/>
      <w:marRight w:val="0"/>
      <w:marTop w:val="0"/>
      <w:marBottom w:val="0"/>
      <w:divBdr>
        <w:top w:val="none" w:sz="0" w:space="0" w:color="auto"/>
        <w:left w:val="none" w:sz="0" w:space="0" w:color="auto"/>
        <w:bottom w:val="none" w:sz="0" w:space="0" w:color="auto"/>
        <w:right w:val="none" w:sz="0" w:space="0" w:color="auto"/>
      </w:divBdr>
    </w:div>
    <w:div w:id="1323966317">
      <w:bodyDiv w:val="1"/>
      <w:marLeft w:val="0"/>
      <w:marRight w:val="0"/>
      <w:marTop w:val="0"/>
      <w:marBottom w:val="0"/>
      <w:divBdr>
        <w:top w:val="none" w:sz="0" w:space="0" w:color="auto"/>
        <w:left w:val="none" w:sz="0" w:space="0" w:color="auto"/>
        <w:bottom w:val="none" w:sz="0" w:space="0" w:color="auto"/>
        <w:right w:val="none" w:sz="0" w:space="0" w:color="auto"/>
      </w:divBdr>
    </w:div>
    <w:div w:id="1335766185">
      <w:bodyDiv w:val="1"/>
      <w:marLeft w:val="0"/>
      <w:marRight w:val="0"/>
      <w:marTop w:val="0"/>
      <w:marBottom w:val="0"/>
      <w:divBdr>
        <w:top w:val="none" w:sz="0" w:space="0" w:color="auto"/>
        <w:left w:val="none" w:sz="0" w:space="0" w:color="auto"/>
        <w:bottom w:val="none" w:sz="0" w:space="0" w:color="auto"/>
        <w:right w:val="none" w:sz="0" w:space="0" w:color="auto"/>
      </w:divBdr>
    </w:div>
    <w:div w:id="1360160071">
      <w:bodyDiv w:val="1"/>
      <w:marLeft w:val="0"/>
      <w:marRight w:val="0"/>
      <w:marTop w:val="0"/>
      <w:marBottom w:val="0"/>
      <w:divBdr>
        <w:top w:val="none" w:sz="0" w:space="0" w:color="auto"/>
        <w:left w:val="none" w:sz="0" w:space="0" w:color="auto"/>
        <w:bottom w:val="none" w:sz="0" w:space="0" w:color="auto"/>
        <w:right w:val="none" w:sz="0" w:space="0" w:color="auto"/>
      </w:divBdr>
    </w:div>
    <w:div w:id="1365980584">
      <w:bodyDiv w:val="1"/>
      <w:marLeft w:val="0"/>
      <w:marRight w:val="0"/>
      <w:marTop w:val="0"/>
      <w:marBottom w:val="0"/>
      <w:divBdr>
        <w:top w:val="none" w:sz="0" w:space="0" w:color="auto"/>
        <w:left w:val="none" w:sz="0" w:space="0" w:color="auto"/>
        <w:bottom w:val="none" w:sz="0" w:space="0" w:color="auto"/>
        <w:right w:val="none" w:sz="0" w:space="0" w:color="auto"/>
      </w:divBdr>
    </w:div>
    <w:div w:id="1400978544">
      <w:bodyDiv w:val="1"/>
      <w:marLeft w:val="0"/>
      <w:marRight w:val="0"/>
      <w:marTop w:val="0"/>
      <w:marBottom w:val="0"/>
      <w:divBdr>
        <w:top w:val="none" w:sz="0" w:space="0" w:color="auto"/>
        <w:left w:val="none" w:sz="0" w:space="0" w:color="auto"/>
        <w:bottom w:val="none" w:sz="0" w:space="0" w:color="auto"/>
        <w:right w:val="none" w:sz="0" w:space="0" w:color="auto"/>
      </w:divBdr>
    </w:div>
    <w:div w:id="1401096200">
      <w:bodyDiv w:val="1"/>
      <w:marLeft w:val="0"/>
      <w:marRight w:val="0"/>
      <w:marTop w:val="0"/>
      <w:marBottom w:val="0"/>
      <w:divBdr>
        <w:top w:val="none" w:sz="0" w:space="0" w:color="auto"/>
        <w:left w:val="none" w:sz="0" w:space="0" w:color="auto"/>
        <w:bottom w:val="none" w:sz="0" w:space="0" w:color="auto"/>
        <w:right w:val="none" w:sz="0" w:space="0" w:color="auto"/>
      </w:divBdr>
    </w:div>
    <w:div w:id="1478916577">
      <w:bodyDiv w:val="1"/>
      <w:marLeft w:val="0"/>
      <w:marRight w:val="0"/>
      <w:marTop w:val="0"/>
      <w:marBottom w:val="0"/>
      <w:divBdr>
        <w:top w:val="none" w:sz="0" w:space="0" w:color="auto"/>
        <w:left w:val="none" w:sz="0" w:space="0" w:color="auto"/>
        <w:bottom w:val="none" w:sz="0" w:space="0" w:color="auto"/>
        <w:right w:val="none" w:sz="0" w:space="0" w:color="auto"/>
      </w:divBdr>
    </w:div>
    <w:div w:id="1496994220">
      <w:bodyDiv w:val="1"/>
      <w:marLeft w:val="0"/>
      <w:marRight w:val="0"/>
      <w:marTop w:val="0"/>
      <w:marBottom w:val="0"/>
      <w:divBdr>
        <w:top w:val="none" w:sz="0" w:space="0" w:color="auto"/>
        <w:left w:val="none" w:sz="0" w:space="0" w:color="auto"/>
        <w:bottom w:val="none" w:sz="0" w:space="0" w:color="auto"/>
        <w:right w:val="none" w:sz="0" w:space="0" w:color="auto"/>
      </w:divBdr>
    </w:div>
    <w:div w:id="1497917525">
      <w:bodyDiv w:val="1"/>
      <w:marLeft w:val="0"/>
      <w:marRight w:val="0"/>
      <w:marTop w:val="0"/>
      <w:marBottom w:val="0"/>
      <w:divBdr>
        <w:top w:val="none" w:sz="0" w:space="0" w:color="auto"/>
        <w:left w:val="none" w:sz="0" w:space="0" w:color="auto"/>
        <w:bottom w:val="none" w:sz="0" w:space="0" w:color="auto"/>
        <w:right w:val="none" w:sz="0" w:space="0" w:color="auto"/>
      </w:divBdr>
    </w:div>
    <w:div w:id="1511527136">
      <w:bodyDiv w:val="1"/>
      <w:marLeft w:val="0"/>
      <w:marRight w:val="0"/>
      <w:marTop w:val="0"/>
      <w:marBottom w:val="0"/>
      <w:divBdr>
        <w:top w:val="none" w:sz="0" w:space="0" w:color="auto"/>
        <w:left w:val="none" w:sz="0" w:space="0" w:color="auto"/>
        <w:bottom w:val="none" w:sz="0" w:space="0" w:color="auto"/>
        <w:right w:val="none" w:sz="0" w:space="0" w:color="auto"/>
      </w:divBdr>
    </w:div>
    <w:div w:id="1535382790">
      <w:bodyDiv w:val="1"/>
      <w:marLeft w:val="0"/>
      <w:marRight w:val="0"/>
      <w:marTop w:val="0"/>
      <w:marBottom w:val="0"/>
      <w:divBdr>
        <w:top w:val="none" w:sz="0" w:space="0" w:color="auto"/>
        <w:left w:val="none" w:sz="0" w:space="0" w:color="auto"/>
        <w:bottom w:val="none" w:sz="0" w:space="0" w:color="auto"/>
        <w:right w:val="none" w:sz="0" w:space="0" w:color="auto"/>
      </w:divBdr>
    </w:div>
    <w:div w:id="1591356299">
      <w:bodyDiv w:val="1"/>
      <w:marLeft w:val="0"/>
      <w:marRight w:val="0"/>
      <w:marTop w:val="0"/>
      <w:marBottom w:val="0"/>
      <w:divBdr>
        <w:top w:val="none" w:sz="0" w:space="0" w:color="auto"/>
        <w:left w:val="none" w:sz="0" w:space="0" w:color="auto"/>
        <w:bottom w:val="none" w:sz="0" w:space="0" w:color="auto"/>
        <w:right w:val="none" w:sz="0" w:space="0" w:color="auto"/>
      </w:divBdr>
    </w:div>
    <w:div w:id="1596473130">
      <w:bodyDiv w:val="1"/>
      <w:marLeft w:val="0"/>
      <w:marRight w:val="0"/>
      <w:marTop w:val="0"/>
      <w:marBottom w:val="0"/>
      <w:divBdr>
        <w:top w:val="none" w:sz="0" w:space="0" w:color="auto"/>
        <w:left w:val="none" w:sz="0" w:space="0" w:color="auto"/>
        <w:bottom w:val="none" w:sz="0" w:space="0" w:color="auto"/>
        <w:right w:val="none" w:sz="0" w:space="0" w:color="auto"/>
      </w:divBdr>
    </w:div>
    <w:div w:id="1604800400">
      <w:bodyDiv w:val="1"/>
      <w:marLeft w:val="0"/>
      <w:marRight w:val="0"/>
      <w:marTop w:val="0"/>
      <w:marBottom w:val="0"/>
      <w:divBdr>
        <w:top w:val="none" w:sz="0" w:space="0" w:color="auto"/>
        <w:left w:val="none" w:sz="0" w:space="0" w:color="auto"/>
        <w:bottom w:val="none" w:sz="0" w:space="0" w:color="auto"/>
        <w:right w:val="none" w:sz="0" w:space="0" w:color="auto"/>
      </w:divBdr>
    </w:div>
    <w:div w:id="1637835947">
      <w:bodyDiv w:val="1"/>
      <w:marLeft w:val="0"/>
      <w:marRight w:val="0"/>
      <w:marTop w:val="0"/>
      <w:marBottom w:val="0"/>
      <w:divBdr>
        <w:top w:val="none" w:sz="0" w:space="0" w:color="auto"/>
        <w:left w:val="none" w:sz="0" w:space="0" w:color="auto"/>
        <w:bottom w:val="none" w:sz="0" w:space="0" w:color="auto"/>
        <w:right w:val="none" w:sz="0" w:space="0" w:color="auto"/>
      </w:divBdr>
    </w:div>
    <w:div w:id="1664432763">
      <w:bodyDiv w:val="1"/>
      <w:marLeft w:val="0"/>
      <w:marRight w:val="0"/>
      <w:marTop w:val="0"/>
      <w:marBottom w:val="0"/>
      <w:divBdr>
        <w:top w:val="none" w:sz="0" w:space="0" w:color="auto"/>
        <w:left w:val="none" w:sz="0" w:space="0" w:color="auto"/>
        <w:bottom w:val="none" w:sz="0" w:space="0" w:color="auto"/>
        <w:right w:val="none" w:sz="0" w:space="0" w:color="auto"/>
      </w:divBdr>
    </w:div>
    <w:div w:id="1664581047">
      <w:bodyDiv w:val="1"/>
      <w:marLeft w:val="0"/>
      <w:marRight w:val="0"/>
      <w:marTop w:val="0"/>
      <w:marBottom w:val="0"/>
      <w:divBdr>
        <w:top w:val="none" w:sz="0" w:space="0" w:color="auto"/>
        <w:left w:val="none" w:sz="0" w:space="0" w:color="auto"/>
        <w:bottom w:val="none" w:sz="0" w:space="0" w:color="auto"/>
        <w:right w:val="none" w:sz="0" w:space="0" w:color="auto"/>
      </w:divBdr>
    </w:div>
    <w:div w:id="1693218537">
      <w:bodyDiv w:val="1"/>
      <w:marLeft w:val="0"/>
      <w:marRight w:val="0"/>
      <w:marTop w:val="0"/>
      <w:marBottom w:val="0"/>
      <w:divBdr>
        <w:top w:val="none" w:sz="0" w:space="0" w:color="auto"/>
        <w:left w:val="none" w:sz="0" w:space="0" w:color="auto"/>
        <w:bottom w:val="none" w:sz="0" w:space="0" w:color="auto"/>
        <w:right w:val="none" w:sz="0" w:space="0" w:color="auto"/>
      </w:divBdr>
    </w:div>
    <w:div w:id="1694653535">
      <w:bodyDiv w:val="1"/>
      <w:marLeft w:val="0"/>
      <w:marRight w:val="0"/>
      <w:marTop w:val="0"/>
      <w:marBottom w:val="0"/>
      <w:divBdr>
        <w:top w:val="none" w:sz="0" w:space="0" w:color="auto"/>
        <w:left w:val="none" w:sz="0" w:space="0" w:color="auto"/>
        <w:bottom w:val="none" w:sz="0" w:space="0" w:color="auto"/>
        <w:right w:val="none" w:sz="0" w:space="0" w:color="auto"/>
      </w:divBdr>
    </w:div>
    <w:div w:id="1708018238">
      <w:bodyDiv w:val="1"/>
      <w:marLeft w:val="0"/>
      <w:marRight w:val="0"/>
      <w:marTop w:val="0"/>
      <w:marBottom w:val="0"/>
      <w:divBdr>
        <w:top w:val="none" w:sz="0" w:space="0" w:color="auto"/>
        <w:left w:val="none" w:sz="0" w:space="0" w:color="auto"/>
        <w:bottom w:val="none" w:sz="0" w:space="0" w:color="auto"/>
        <w:right w:val="none" w:sz="0" w:space="0" w:color="auto"/>
      </w:divBdr>
    </w:div>
    <w:div w:id="1710496292">
      <w:bodyDiv w:val="1"/>
      <w:marLeft w:val="0"/>
      <w:marRight w:val="0"/>
      <w:marTop w:val="0"/>
      <w:marBottom w:val="0"/>
      <w:divBdr>
        <w:top w:val="none" w:sz="0" w:space="0" w:color="auto"/>
        <w:left w:val="none" w:sz="0" w:space="0" w:color="auto"/>
        <w:bottom w:val="none" w:sz="0" w:space="0" w:color="auto"/>
        <w:right w:val="none" w:sz="0" w:space="0" w:color="auto"/>
      </w:divBdr>
    </w:div>
    <w:div w:id="1765370532">
      <w:bodyDiv w:val="1"/>
      <w:marLeft w:val="0"/>
      <w:marRight w:val="0"/>
      <w:marTop w:val="0"/>
      <w:marBottom w:val="0"/>
      <w:divBdr>
        <w:top w:val="none" w:sz="0" w:space="0" w:color="auto"/>
        <w:left w:val="none" w:sz="0" w:space="0" w:color="auto"/>
        <w:bottom w:val="none" w:sz="0" w:space="0" w:color="auto"/>
        <w:right w:val="none" w:sz="0" w:space="0" w:color="auto"/>
      </w:divBdr>
    </w:div>
    <w:div w:id="1804813824">
      <w:bodyDiv w:val="1"/>
      <w:marLeft w:val="0"/>
      <w:marRight w:val="0"/>
      <w:marTop w:val="0"/>
      <w:marBottom w:val="0"/>
      <w:divBdr>
        <w:top w:val="none" w:sz="0" w:space="0" w:color="auto"/>
        <w:left w:val="none" w:sz="0" w:space="0" w:color="auto"/>
        <w:bottom w:val="none" w:sz="0" w:space="0" w:color="auto"/>
        <w:right w:val="none" w:sz="0" w:space="0" w:color="auto"/>
      </w:divBdr>
    </w:div>
    <w:div w:id="1816145502">
      <w:bodyDiv w:val="1"/>
      <w:marLeft w:val="0"/>
      <w:marRight w:val="0"/>
      <w:marTop w:val="0"/>
      <w:marBottom w:val="0"/>
      <w:divBdr>
        <w:top w:val="none" w:sz="0" w:space="0" w:color="auto"/>
        <w:left w:val="none" w:sz="0" w:space="0" w:color="auto"/>
        <w:bottom w:val="none" w:sz="0" w:space="0" w:color="auto"/>
        <w:right w:val="none" w:sz="0" w:space="0" w:color="auto"/>
      </w:divBdr>
    </w:div>
    <w:div w:id="1826122006">
      <w:bodyDiv w:val="1"/>
      <w:marLeft w:val="0"/>
      <w:marRight w:val="0"/>
      <w:marTop w:val="0"/>
      <w:marBottom w:val="0"/>
      <w:divBdr>
        <w:top w:val="none" w:sz="0" w:space="0" w:color="auto"/>
        <w:left w:val="none" w:sz="0" w:space="0" w:color="auto"/>
        <w:bottom w:val="none" w:sz="0" w:space="0" w:color="auto"/>
        <w:right w:val="none" w:sz="0" w:space="0" w:color="auto"/>
      </w:divBdr>
    </w:div>
    <w:div w:id="1851488546">
      <w:bodyDiv w:val="1"/>
      <w:marLeft w:val="0"/>
      <w:marRight w:val="0"/>
      <w:marTop w:val="0"/>
      <w:marBottom w:val="0"/>
      <w:divBdr>
        <w:top w:val="none" w:sz="0" w:space="0" w:color="auto"/>
        <w:left w:val="none" w:sz="0" w:space="0" w:color="auto"/>
        <w:bottom w:val="none" w:sz="0" w:space="0" w:color="auto"/>
        <w:right w:val="none" w:sz="0" w:space="0" w:color="auto"/>
      </w:divBdr>
    </w:div>
    <w:div w:id="1866600569">
      <w:bodyDiv w:val="1"/>
      <w:marLeft w:val="0"/>
      <w:marRight w:val="0"/>
      <w:marTop w:val="0"/>
      <w:marBottom w:val="0"/>
      <w:divBdr>
        <w:top w:val="none" w:sz="0" w:space="0" w:color="auto"/>
        <w:left w:val="none" w:sz="0" w:space="0" w:color="auto"/>
        <w:bottom w:val="none" w:sz="0" w:space="0" w:color="auto"/>
        <w:right w:val="none" w:sz="0" w:space="0" w:color="auto"/>
      </w:divBdr>
    </w:div>
    <w:div w:id="1903171677">
      <w:bodyDiv w:val="1"/>
      <w:marLeft w:val="0"/>
      <w:marRight w:val="0"/>
      <w:marTop w:val="0"/>
      <w:marBottom w:val="0"/>
      <w:divBdr>
        <w:top w:val="none" w:sz="0" w:space="0" w:color="auto"/>
        <w:left w:val="none" w:sz="0" w:space="0" w:color="auto"/>
        <w:bottom w:val="none" w:sz="0" w:space="0" w:color="auto"/>
        <w:right w:val="none" w:sz="0" w:space="0" w:color="auto"/>
      </w:divBdr>
    </w:div>
    <w:div w:id="1959867635">
      <w:bodyDiv w:val="1"/>
      <w:marLeft w:val="0"/>
      <w:marRight w:val="0"/>
      <w:marTop w:val="0"/>
      <w:marBottom w:val="0"/>
      <w:divBdr>
        <w:top w:val="none" w:sz="0" w:space="0" w:color="auto"/>
        <w:left w:val="none" w:sz="0" w:space="0" w:color="auto"/>
        <w:bottom w:val="none" w:sz="0" w:space="0" w:color="auto"/>
        <w:right w:val="none" w:sz="0" w:space="0" w:color="auto"/>
      </w:divBdr>
    </w:div>
    <w:div w:id="1980112273">
      <w:bodyDiv w:val="1"/>
      <w:marLeft w:val="0"/>
      <w:marRight w:val="0"/>
      <w:marTop w:val="0"/>
      <w:marBottom w:val="0"/>
      <w:divBdr>
        <w:top w:val="none" w:sz="0" w:space="0" w:color="auto"/>
        <w:left w:val="none" w:sz="0" w:space="0" w:color="auto"/>
        <w:bottom w:val="none" w:sz="0" w:space="0" w:color="auto"/>
        <w:right w:val="none" w:sz="0" w:space="0" w:color="auto"/>
      </w:divBdr>
    </w:div>
    <w:div w:id="1984850963">
      <w:bodyDiv w:val="1"/>
      <w:marLeft w:val="0"/>
      <w:marRight w:val="0"/>
      <w:marTop w:val="0"/>
      <w:marBottom w:val="0"/>
      <w:divBdr>
        <w:top w:val="none" w:sz="0" w:space="0" w:color="auto"/>
        <w:left w:val="none" w:sz="0" w:space="0" w:color="auto"/>
        <w:bottom w:val="none" w:sz="0" w:space="0" w:color="auto"/>
        <w:right w:val="none" w:sz="0" w:space="0" w:color="auto"/>
      </w:divBdr>
    </w:div>
    <w:div w:id="1995716642">
      <w:bodyDiv w:val="1"/>
      <w:marLeft w:val="0"/>
      <w:marRight w:val="0"/>
      <w:marTop w:val="0"/>
      <w:marBottom w:val="0"/>
      <w:divBdr>
        <w:top w:val="none" w:sz="0" w:space="0" w:color="auto"/>
        <w:left w:val="none" w:sz="0" w:space="0" w:color="auto"/>
        <w:bottom w:val="none" w:sz="0" w:space="0" w:color="auto"/>
        <w:right w:val="none" w:sz="0" w:space="0" w:color="auto"/>
      </w:divBdr>
    </w:div>
    <w:div w:id="2036272475">
      <w:bodyDiv w:val="1"/>
      <w:marLeft w:val="0"/>
      <w:marRight w:val="0"/>
      <w:marTop w:val="0"/>
      <w:marBottom w:val="0"/>
      <w:divBdr>
        <w:top w:val="none" w:sz="0" w:space="0" w:color="auto"/>
        <w:left w:val="none" w:sz="0" w:space="0" w:color="auto"/>
        <w:bottom w:val="none" w:sz="0" w:space="0" w:color="auto"/>
        <w:right w:val="none" w:sz="0" w:space="0" w:color="auto"/>
      </w:divBdr>
      <w:divsChild>
        <w:div w:id="1796870228">
          <w:marLeft w:val="0"/>
          <w:marRight w:val="0"/>
          <w:marTop w:val="0"/>
          <w:marBottom w:val="0"/>
          <w:divBdr>
            <w:top w:val="none" w:sz="0" w:space="0" w:color="auto"/>
            <w:left w:val="none" w:sz="0" w:space="0" w:color="auto"/>
            <w:bottom w:val="none" w:sz="0" w:space="0" w:color="auto"/>
            <w:right w:val="none" w:sz="0" w:space="0" w:color="auto"/>
          </w:divBdr>
          <w:divsChild>
            <w:div w:id="1727989957">
              <w:marLeft w:val="0"/>
              <w:marRight w:val="0"/>
              <w:marTop w:val="0"/>
              <w:marBottom w:val="0"/>
              <w:divBdr>
                <w:top w:val="none" w:sz="0" w:space="0" w:color="auto"/>
                <w:left w:val="none" w:sz="0" w:space="0" w:color="auto"/>
                <w:bottom w:val="none" w:sz="0" w:space="0" w:color="auto"/>
                <w:right w:val="none" w:sz="0" w:space="0" w:color="auto"/>
              </w:divBdr>
              <w:divsChild>
                <w:div w:id="2258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3907">
      <w:bodyDiv w:val="1"/>
      <w:marLeft w:val="0"/>
      <w:marRight w:val="0"/>
      <w:marTop w:val="0"/>
      <w:marBottom w:val="0"/>
      <w:divBdr>
        <w:top w:val="none" w:sz="0" w:space="0" w:color="auto"/>
        <w:left w:val="none" w:sz="0" w:space="0" w:color="auto"/>
        <w:bottom w:val="none" w:sz="0" w:space="0" w:color="auto"/>
        <w:right w:val="none" w:sz="0" w:space="0" w:color="auto"/>
      </w:divBdr>
    </w:div>
    <w:div w:id="2099523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yperlink" Target="https://eojn.nn.hr" TargetMode="External"/><Relationship Id="rId39" Type="http://schemas.openxmlformats.org/officeDocument/2006/relationships/footer" Target="footer6.xml"/><Relationship Id="rId21" Type="http://schemas.openxmlformats.org/officeDocument/2006/relationships/hyperlink" Target="https://www.swietelsky.com/" TargetMode="External"/><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roacia.oficinascomerciales.es" TargetMode="External"/><Relationship Id="rId20" Type="http://schemas.openxmlformats.org/officeDocument/2006/relationships/hyperlink" Target="https://www.suez.com/en" TargetMode="External"/><Relationship Id="rId29" Type="http://schemas.openxmlformats.org/officeDocument/2006/relationships/hyperlink" Target="https://www.flandersinvestmentandtrade.com/"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c.europa.eu/regional_policy/funding/solidarity-fund_en" TargetMode="External"/><Relationship Id="rId32" Type="http://schemas.openxmlformats.org/officeDocument/2006/relationships/hyperlink" Target="http://www.zv.hr/fairs-2863/interklima-3067/visitors-3068/about-fair-3069/3069" TargetMode="External"/><Relationship Id="rId37" Type="http://schemas.openxmlformats.org/officeDocument/2006/relationships/hyperlink" Target="mailto:informacion@icex.es" TargetMode="Externa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croacia.oficinascomerciales.es" TargetMode="External"/><Relationship Id="rId23" Type="http://schemas.openxmlformats.org/officeDocument/2006/relationships/hyperlink" Target="https://narodne-novine.nn.hr/clanci/sluzbeni/2010_07_84_2389.html" TargetMode="External"/><Relationship Id="rId28" Type="http://schemas.openxmlformats.org/officeDocument/2006/relationships/hyperlink" Target="https://www.comsa.com/" TargetMode="External"/><Relationship Id="rId36" Type="http://schemas.openxmlformats.org/officeDocument/2006/relationships/hyperlink" Target="mailto:informacion@icex.es" TargetMode="External"/><Relationship Id="rId10" Type="http://schemas.openxmlformats.org/officeDocument/2006/relationships/footer" Target="footer2.xml"/><Relationship Id="rId19" Type="http://schemas.openxmlformats.org/officeDocument/2006/relationships/hyperlink" Target="https://voda.hr/hr" TargetMode="External"/><Relationship Id="rId31" Type="http://schemas.openxmlformats.org/officeDocument/2006/relationships/hyperlink" Target="http://www.sasofair.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economy-finance.ec.europa.eu/system/files/2023-06/ip235_en.pdf" TargetMode="External"/><Relationship Id="rId27" Type="http://schemas.openxmlformats.org/officeDocument/2006/relationships/hyperlink" Target="https://www.eptisa.com/es/" TargetMode="External"/><Relationship Id="rId30" Type="http://schemas.openxmlformats.org/officeDocument/2006/relationships/hyperlink" Target="http://www.zv.hr/fairs-2863/biam-welding-2972/2972" TargetMode="Externa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voda.hr/hr" TargetMode="External"/><Relationship Id="rId25" Type="http://schemas.openxmlformats.org/officeDocument/2006/relationships/hyperlink" Target="https://simap.ted.europa.eu/" TargetMode="External"/><Relationship Id="rId33" Type="http://schemas.openxmlformats.org/officeDocument/2006/relationships/hyperlink" Target="https://www.revelin.hr" TargetMode="External"/><Relationship Id="rId38"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regional_policy/in-your-country/programmes/2021-2027/hr/2021hr16ffpr001_en" TargetMode="External"/><Relationship Id="rId13" Type="http://schemas.openxmlformats.org/officeDocument/2006/relationships/hyperlink" Target="https://data.unicef.org/topic/water-and-sanitation/drinking-water/" TargetMode="External"/><Relationship Id="rId18" Type="http://schemas.openxmlformats.org/officeDocument/2006/relationships/hyperlink" Target="https://podaci.dzs.hr/2023/en/58074" TargetMode="External"/><Relationship Id="rId26" Type="http://schemas.openxmlformats.org/officeDocument/2006/relationships/hyperlink" Target="https://strukturnifondovi.hr/en/eu-fondovi/eu-fondovi-2021-2027/" TargetMode="External"/><Relationship Id="rId3" Type="http://schemas.openxmlformats.org/officeDocument/2006/relationships/hyperlink" Target="https://podaci.dzs.hr/2023/en/58074" TargetMode="External"/><Relationship Id="rId21" Type="http://schemas.openxmlformats.org/officeDocument/2006/relationships/hyperlink" Target="https://sdg6data.org/en/country-or-area/Croatia" TargetMode="External"/><Relationship Id="rId7" Type="http://schemas.openxmlformats.org/officeDocument/2006/relationships/hyperlink" Target="https://openknowledge.worldbank.org/entities/publication/760f9b56-798f-5527-ba9c-adcb07deae29" TargetMode="External"/><Relationship Id="rId12" Type="http://schemas.openxmlformats.org/officeDocument/2006/relationships/hyperlink" Target="https://podaci.dzs.hr/2023/en/58074" TargetMode="External"/><Relationship Id="rId17" Type="http://schemas.openxmlformats.org/officeDocument/2006/relationships/hyperlink" Target="https://podaci.dzs.hr/2021/en/10479" TargetMode="External"/><Relationship Id="rId25" Type="http://schemas.openxmlformats.org/officeDocument/2006/relationships/hyperlink" Target="https://voda.hr/en/financing-project-flood-protection" TargetMode="External"/><Relationship Id="rId2" Type="http://schemas.openxmlformats.org/officeDocument/2006/relationships/hyperlink" Target="https://www.oecd.org/environment/resources/financing-water-supply-sanitation-and-flood-protection-country-fact-sheet-croatia.pdf" TargetMode="External"/><Relationship Id="rId16" Type="http://schemas.openxmlformats.org/officeDocument/2006/relationships/hyperlink" Target="https://podaci.dzs.hr/2023/en/58074" TargetMode="External"/><Relationship Id="rId20" Type="http://schemas.openxmlformats.org/officeDocument/2006/relationships/hyperlink" Target="https://podaci.dzs.hr/2023/en/58076" TargetMode="External"/><Relationship Id="rId29" Type="http://schemas.openxmlformats.org/officeDocument/2006/relationships/hyperlink" Target="https://agridata.ec.europa.eu/extensions/DataPortal/indicator_mapping.html" TargetMode="External"/><Relationship Id="rId1" Type="http://schemas.openxmlformats.org/officeDocument/2006/relationships/hyperlink" Target="https://ec.europa.eu/eurostat/statistics-explained/index.php?title=Water_statistics" TargetMode="External"/><Relationship Id="rId6" Type="http://schemas.openxmlformats.org/officeDocument/2006/relationships/hyperlink" Target="https://sdg6data.org/en/country-or-area/Croatia" TargetMode="External"/><Relationship Id="rId11" Type="http://schemas.openxmlformats.org/officeDocument/2006/relationships/hyperlink" Target="https://www.oecd.org/environment/resources/financing-water-supply-sanitation-and-flood-protection-country-fact-sheet-croatia.pdf" TargetMode="External"/><Relationship Id="rId24" Type="http://schemas.openxmlformats.org/officeDocument/2006/relationships/hyperlink" Target="https://www.oecd.org/environment/resources/financing-water-supply-sanitation-and-flood-protection-country-fact-sheet-croatia.pdf" TargetMode="External"/><Relationship Id="rId5" Type="http://schemas.openxmlformats.org/officeDocument/2006/relationships/hyperlink" Target="https://podaci.dzs.hr/2023/en/58094" TargetMode="External"/><Relationship Id="rId15" Type="http://schemas.openxmlformats.org/officeDocument/2006/relationships/hyperlink" Target="https://podaci.dzs.hr/media/fagflfgk/croinfig_2021.pdf" TargetMode="External"/><Relationship Id="rId23" Type="http://schemas.openxmlformats.org/officeDocument/2006/relationships/hyperlink" Target="https://www.oecd.org/environment/resources/financing-water-supply-sanitation-and-flood-protection-country-fact-sheet-croatia.pdf" TargetMode="External"/><Relationship Id="rId28" Type="http://schemas.openxmlformats.org/officeDocument/2006/relationships/hyperlink" Target="https://agriculture.ec.europa.eu/system/files/2023-04/csp-at-a-glance-croatia_en.pdf" TargetMode="External"/><Relationship Id="rId10" Type="http://schemas.openxmlformats.org/officeDocument/2006/relationships/hyperlink" Target="https://data.worldbank.org/indicator/SP.POP.TOTL?locations=HR" TargetMode="External"/><Relationship Id="rId19" Type="http://schemas.openxmlformats.org/officeDocument/2006/relationships/hyperlink" Target="https://ec.europa.eu/eurostat/statistics-explained/index.php?title=Water_statistics" TargetMode="External"/><Relationship Id="rId31" Type="http://schemas.openxmlformats.org/officeDocument/2006/relationships/hyperlink" Target="https://mingor.gov.hr/javni-pozivi-i-natjecaji-7371/javni-pozivi-i-natjecaji-ministarstva/otvoreni-javni-pozivi-i-natjecaji/7390" TargetMode="External"/><Relationship Id="rId4" Type="http://schemas.openxmlformats.org/officeDocument/2006/relationships/hyperlink" Target="https://clean-energy-islands.ec.europa.eu/countries/croatia" TargetMode="External"/><Relationship Id="rId9" Type="http://schemas.openxmlformats.org/officeDocument/2006/relationships/hyperlink" Target="https://ec.europa.eu/regional_policy/in-your-country/programmes/2021-2027/hr/2021hr16ffpr002_en" TargetMode="External"/><Relationship Id="rId14" Type="http://schemas.openxmlformats.org/officeDocument/2006/relationships/hyperlink" Target="https://sdg6data.org/en/country-or-area/Croatia" TargetMode="External"/><Relationship Id="rId22" Type="http://schemas.openxmlformats.org/officeDocument/2006/relationships/hyperlink" Target="http://www.ksh.fgg.uni-lj.si/bled2008/cd_2008/04_Water%20management/164_Holjevic.pdf" TargetMode="External"/><Relationship Id="rId27" Type="http://schemas.openxmlformats.org/officeDocument/2006/relationships/hyperlink" Target="https://strukturnifondovi.hr/program-konkurentnost-i-kohezija-2021-2027/" TargetMode="External"/><Relationship Id="rId30" Type="http://schemas.openxmlformats.org/officeDocument/2006/relationships/hyperlink" Target="https://mingor.gov.hr/financiranje-provedbe-vec-zapocetih-investicijskih-projekata-koji-se-odnose-na-manje-dijelove-sustava-javne-vodoopskrbe-i-javne-odvodnje-otpadnih-voda-u-okviru-nacionalnog-plana-oporavka-i-otpornosti/89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5.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ICEX_alumni">
      <a:dk1>
        <a:srgbClr val="000000"/>
      </a:dk1>
      <a:lt1>
        <a:srgbClr val="FFFFFF"/>
      </a:lt1>
      <a:dk2>
        <a:srgbClr val="5E5E5E"/>
      </a:dk2>
      <a:lt2>
        <a:srgbClr val="DDDDDD"/>
      </a:lt2>
      <a:accent1>
        <a:srgbClr val="E2231A"/>
      </a:accent1>
      <a:accent2>
        <a:srgbClr val="ED7B0F"/>
      </a:accent2>
      <a:accent3>
        <a:srgbClr val="FFCE00"/>
      </a:accent3>
      <a:accent4>
        <a:srgbClr val="C3C1C2"/>
      </a:accent4>
      <a:accent5>
        <a:srgbClr val="9D9A9D"/>
      </a:accent5>
      <a:accent6>
        <a:srgbClr val="009BB7"/>
      </a:accent6>
      <a:hlink>
        <a:srgbClr val="FF9000"/>
      </a:hlink>
      <a:folHlink>
        <a:srgbClr val="B2B2B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C84554-BDF3-4AD2-987F-879095FF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11039</TotalTime>
  <Pages>37</Pages>
  <Words>12481</Words>
  <Characters>68646</Characters>
  <Application>Microsoft Office Word</Application>
  <DocSecurity>0</DocSecurity>
  <Lines>572</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Pata, Francisco</cp:lastModifiedBy>
  <cp:revision>435</cp:revision>
  <cp:lastPrinted>2023-08-28T08:02:00Z</cp:lastPrinted>
  <dcterms:created xsi:type="dcterms:W3CDTF">2021-11-08T13:09:00Z</dcterms:created>
  <dcterms:modified xsi:type="dcterms:W3CDTF">2023-10-17T10:47:00Z</dcterms:modified>
</cp:coreProperties>
</file>