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5BC3280E"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2930E3">
        <w:rPr>
          <w:rFonts w:ascii="Arial" w:eastAsia="Aptos" w:hAnsi="Arial" w:cs="Arial"/>
          <w:i/>
          <w:iCs/>
          <w:color w:val="000000"/>
          <w:kern w:val="0"/>
          <w:u w:val="single"/>
          <w:lang w:val="en-GB"/>
          <w14:ligatures w14:val="none"/>
        </w:rPr>
        <w:t xml:space="preserve"> </w:t>
      </w:r>
      <w:r w:rsidR="001D0E77">
        <w:rPr>
          <w:rFonts w:ascii="Arial" w:eastAsia="Aptos" w:hAnsi="Arial" w:cs="Arial"/>
          <w:i/>
          <w:iCs/>
          <w:color w:val="000000"/>
          <w:kern w:val="0"/>
          <w:u w:val="single"/>
          <w:lang w:val="en-GB"/>
          <w14:ligatures w14:val="none"/>
        </w:rPr>
        <w:t>1</w:t>
      </w:r>
    </w:p>
    <w:p w14:paraId="6086D38E" w14:textId="77777777" w:rsidR="00790547" w:rsidRPr="00D1319F" w:rsidRDefault="00790547" w:rsidP="00D1319F">
      <w:pPr>
        <w:spacing w:before="120" w:after="120" w:line="240" w:lineRule="auto"/>
        <w:ind w:left="-142"/>
        <w:jc w:val="center"/>
        <w:rPr>
          <w:rFonts w:ascii="Aptos" w:eastAsia="Aptos" w:hAnsi="Aptos" w:cs="Aptos"/>
          <w:b/>
          <w:color w:val="000000"/>
          <w:kern w:val="0"/>
          <w:lang w:val="en-GB"/>
          <w14:ligatures w14:val="none"/>
        </w:rPr>
      </w:pP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3034D0C1"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2930E3" w:rsidRPr="002930E3">
        <w:rPr>
          <w:rFonts w:ascii="Arial" w:eastAsia="Aptos" w:hAnsi="Arial" w:cs="Arial"/>
          <w:b/>
          <w:bCs/>
          <w:color w:val="000000"/>
          <w:kern w:val="0"/>
          <w:lang w:val="en-GB"/>
          <w14:ligatures w14:val="none"/>
        </w:rPr>
        <w:t>X054-01-2026</w:t>
      </w:r>
      <w:r w:rsidRPr="00D1319F">
        <w:rPr>
          <w:rFonts w:ascii="Arial" w:eastAsia="Aptos" w:hAnsi="Arial" w:cs="Arial"/>
          <w:color w:val="000000"/>
          <w:kern w:val="0"/>
          <w:lang w:val="en-GB"/>
          <w14:ligatures w14:val="none"/>
        </w:rPr>
        <w:t>, the object of which is “</w:t>
      </w:r>
      <w:r w:rsidR="002930E3" w:rsidRPr="002930E3">
        <w:rPr>
          <w:rFonts w:ascii="Arial" w:eastAsia="Aptos" w:hAnsi="Arial" w:cs="Arial"/>
          <w:b/>
          <w:bCs/>
          <w:color w:val="000000"/>
          <w:kern w:val="0"/>
          <w:lang w:val="en-GB"/>
          <w14:ligatures w14:val="none"/>
        </w:rPr>
        <w:t>Spain-US Business Summit 2026</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473410C6"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For the attention of the manager of the entity:</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Headquarters (EU/non-EU):</w:t>
      </w:r>
    </w:p>
    <w:p w14:paraId="51F385E3" w14:textId="12F2727F"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Tax Identification Number:</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Country of Location:</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Incorporation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Address:</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In order to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D1319F" w:rsidRDefault="00096D93" w:rsidP="00D1319F">
      <w:pPr>
        <w:spacing w:after="0" w:line="240" w:lineRule="auto"/>
        <w:jc w:val="center"/>
      </w:pPr>
      <w:r w:rsidRPr="00D1319F">
        <w:t>Signature</w:t>
      </w:r>
    </w:p>
    <w:sectPr w:rsidR="00453F6E" w:rsidRPr="00D1319F"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F684" w14:textId="77777777" w:rsidR="00B0178C" w:rsidRDefault="00B0178C" w:rsidP="0060739A">
      <w:pPr>
        <w:spacing w:after="0" w:line="240" w:lineRule="auto"/>
      </w:pPr>
      <w:r>
        <w:separator/>
      </w:r>
    </w:p>
  </w:endnote>
  <w:endnote w:type="continuationSeparator" w:id="0">
    <w:p w14:paraId="2DE7884F" w14:textId="77777777" w:rsidR="00B0178C" w:rsidRDefault="00B0178C"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CBE7" w14:textId="77777777" w:rsidR="00B0178C" w:rsidRDefault="00B0178C" w:rsidP="0060739A">
      <w:pPr>
        <w:spacing w:after="0" w:line="240" w:lineRule="auto"/>
      </w:pPr>
      <w:r>
        <w:separator/>
      </w:r>
    </w:p>
  </w:footnote>
  <w:footnote w:type="continuationSeparator" w:id="0">
    <w:p w14:paraId="7FCF2E0F" w14:textId="77777777" w:rsidR="00B0178C" w:rsidRDefault="00B0178C"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117A17BB"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7991E35C">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6EDB7A1C"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96D93"/>
    <w:rsid w:val="000C5A52"/>
    <w:rsid w:val="0017719A"/>
    <w:rsid w:val="001C6492"/>
    <w:rsid w:val="001D0E77"/>
    <w:rsid w:val="00223305"/>
    <w:rsid w:val="002930E3"/>
    <w:rsid w:val="002B1845"/>
    <w:rsid w:val="002C0305"/>
    <w:rsid w:val="00301539"/>
    <w:rsid w:val="00320B7F"/>
    <w:rsid w:val="00341C42"/>
    <w:rsid w:val="00405749"/>
    <w:rsid w:val="004177F2"/>
    <w:rsid w:val="00432422"/>
    <w:rsid w:val="00453F6E"/>
    <w:rsid w:val="004E4061"/>
    <w:rsid w:val="00531F5D"/>
    <w:rsid w:val="005C13CE"/>
    <w:rsid w:val="0060739A"/>
    <w:rsid w:val="006741BB"/>
    <w:rsid w:val="006E1309"/>
    <w:rsid w:val="0073430F"/>
    <w:rsid w:val="00790547"/>
    <w:rsid w:val="007E6BA6"/>
    <w:rsid w:val="008658E9"/>
    <w:rsid w:val="00870541"/>
    <w:rsid w:val="008E566B"/>
    <w:rsid w:val="00957818"/>
    <w:rsid w:val="00A11BA1"/>
    <w:rsid w:val="00B0178C"/>
    <w:rsid w:val="00B30251"/>
    <w:rsid w:val="00BC284D"/>
    <w:rsid w:val="00C11AE3"/>
    <w:rsid w:val="00D1319F"/>
    <w:rsid w:val="00D41F27"/>
    <w:rsid w:val="00DB31B6"/>
    <w:rsid w:val="00E62929"/>
    <w:rsid w:val="00F9379B"/>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Escolar Haro, Beatriz</cp:lastModifiedBy>
  <cp:revision>22</cp:revision>
  <dcterms:created xsi:type="dcterms:W3CDTF">2024-01-22T17:54:00Z</dcterms:created>
  <dcterms:modified xsi:type="dcterms:W3CDTF">2026-01-22T15:21:00Z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